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2C44F" w14:textId="3A77E9C7" w:rsidR="006C661C" w:rsidRPr="006C661C" w:rsidRDefault="006C661C" w:rsidP="006C661C">
      <w:pPr>
        <w:rPr>
          <w:rFonts w:ascii="Garamond" w:hAnsi="Garamond"/>
          <w:b/>
        </w:rPr>
      </w:pPr>
      <w:bookmarkStart w:id="0" w:name="_GoBack"/>
      <w:bookmarkEnd w:id="0"/>
      <w:r w:rsidRPr="006C661C">
        <w:rPr>
          <w:b/>
        </w:rPr>
        <w:t xml:space="preserve">Program Level Learning Outcome </w:t>
      </w:r>
      <w:r w:rsidR="00A54F65">
        <w:rPr>
          <w:b/>
        </w:rPr>
        <w:t xml:space="preserve">(PLO) </w:t>
      </w:r>
      <w:r w:rsidRPr="006C661C">
        <w:rPr>
          <w:b/>
        </w:rPr>
        <w:t>Assessment</w:t>
      </w:r>
      <w:r w:rsidR="002C4EB0">
        <w:rPr>
          <w:b/>
        </w:rPr>
        <w:t xml:space="preserve"> </w:t>
      </w:r>
      <w:r w:rsidR="00D50797">
        <w:rPr>
          <w:b/>
        </w:rPr>
        <w:t xml:space="preserve">for </w:t>
      </w:r>
      <w:r w:rsidR="004A012D">
        <w:rPr>
          <w:b/>
        </w:rPr>
        <w:t>Master of Science in GeoInformatics (</w:t>
      </w:r>
      <w:r w:rsidR="005B369C">
        <w:rPr>
          <w:b/>
        </w:rPr>
        <w:t>MGEOi</w:t>
      </w:r>
      <w:r w:rsidR="004A012D">
        <w:rPr>
          <w:b/>
        </w:rPr>
        <w:t>)</w:t>
      </w:r>
    </w:p>
    <w:p w14:paraId="5051B6AE" w14:textId="380C39AD" w:rsidR="006C661C" w:rsidRDefault="006C661C" w:rsidP="006C661C">
      <w:pPr>
        <w:tabs>
          <w:tab w:val="right" w:pos="14400"/>
        </w:tabs>
        <w:spacing w:line="240" w:lineRule="exact"/>
        <w:rPr>
          <w:b/>
        </w:rPr>
      </w:pPr>
    </w:p>
    <w:p w14:paraId="52A6CC30" w14:textId="5C9ADC23" w:rsidR="00774DF3" w:rsidRDefault="00B22B52" w:rsidP="00CB48CA">
      <w:pPr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B22B52">
        <w:rPr>
          <w:rFonts w:ascii="Calibri" w:hAnsi="Calibri" w:cs="Calibri"/>
          <w:b/>
        </w:rPr>
        <w:t>PLO:</w:t>
      </w:r>
      <w:r w:rsidRPr="00B22B52">
        <w:rPr>
          <w:rFonts w:ascii="Calibri" w:eastAsiaTheme="minorHAnsi" w:hAnsi="Calibri" w:cs="Calibri"/>
          <w:b/>
        </w:rPr>
        <w:t xml:space="preserve"> </w:t>
      </w:r>
      <w:r w:rsidR="00CB48CA" w:rsidRPr="00CB48CA">
        <w:rPr>
          <w:rFonts w:ascii="Calibri" w:eastAsiaTheme="minorHAnsi" w:hAnsi="Calibri" w:cs="Calibri"/>
        </w:rPr>
        <w:t xml:space="preserve">Students will acquire a </w:t>
      </w:r>
      <w:r w:rsidR="00774DF3">
        <w:rPr>
          <w:rFonts w:ascii="Calibri" w:eastAsiaTheme="minorHAnsi" w:hAnsi="Calibri" w:cs="Calibri"/>
        </w:rPr>
        <w:t>strong conceptual model of how to represent geographic phenomena is space, time and over different scales</w:t>
      </w:r>
      <w:r w:rsidR="00A54F65">
        <w:rPr>
          <w:rFonts w:ascii="Calibri" w:eastAsiaTheme="minorHAnsi" w:hAnsi="Calibri" w:cs="Calibri"/>
        </w:rPr>
        <w:t xml:space="preserve">. </w:t>
      </w:r>
      <w:r w:rsidR="00774DF3">
        <w:rPr>
          <w:rFonts w:ascii="Calibri" w:eastAsiaTheme="minorHAnsi" w:hAnsi="Calibri" w:cs="Calibri"/>
        </w:rPr>
        <w:t xml:space="preserve">The students will be able to translate that conceptual model into data structures </w:t>
      </w:r>
      <w:r w:rsidR="00A20BC0">
        <w:rPr>
          <w:rFonts w:ascii="Calibri" w:eastAsiaTheme="minorHAnsi" w:hAnsi="Calibri" w:cs="Calibri"/>
        </w:rPr>
        <w:t xml:space="preserve">or objects </w:t>
      </w:r>
      <w:r w:rsidR="00774DF3">
        <w:rPr>
          <w:rFonts w:ascii="Calibri" w:eastAsiaTheme="minorHAnsi" w:hAnsi="Calibri" w:cs="Calibri"/>
        </w:rPr>
        <w:t xml:space="preserve">that capture the relationships among phenomenal being modeled.  They will acquire solid quantitative skill that can be used to </w:t>
      </w:r>
      <w:r w:rsidR="00637CC5">
        <w:rPr>
          <w:rFonts w:ascii="Calibri" w:eastAsiaTheme="minorHAnsi" w:hAnsi="Calibri" w:cs="Calibri"/>
        </w:rPr>
        <w:t>capture</w:t>
      </w:r>
      <w:r w:rsidR="00774DF3">
        <w:rPr>
          <w:rFonts w:ascii="Calibri" w:eastAsiaTheme="minorHAnsi" w:hAnsi="Calibri" w:cs="Calibri"/>
        </w:rPr>
        <w:t xml:space="preserve"> key processes </w:t>
      </w:r>
      <w:r w:rsidR="00637CC5">
        <w:rPr>
          <w:rFonts w:ascii="Calibri" w:eastAsiaTheme="minorHAnsi" w:hAnsi="Calibri" w:cs="Calibri"/>
        </w:rPr>
        <w:t>that characterize the system being modeled.  They will master the components that comprise GeoInformatics</w:t>
      </w:r>
      <w:r w:rsidR="005B369C">
        <w:rPr>
          <w:rFonts w:ascii="Calibri" w:eastAsiaTheme="minorHAnsi" w:hAnsi="Calibri" w:cs="Calibri"/>
        </w:rPr>
        <w:t>,</w:t>
      </w:r>
      <w:r w:rsidR="00637CC5">
        <w:rPr>
          <w:rFonts w:ascii="Calibri" w:eastAsiaTheme="minorHAnsi" w:hAnsi="Calibri" w:cs="Calibri"/>
        </w:rPr>
        <w:t xml:space="preserve"> including cartographic representation, WebGIS, spatial databases, </w:t>
      </w:r>
      <w:r w:rsidR="00A20BC0">
        <w:rPr>
          <w:rFonts w:ascii="Calibri" w:eastAsiaTheme="minorHAnsi" w:hAnsi="Calibri" w:cs="Calibri"/>
        </w:rPr>
        <w:t>geocomputation</w:t>
      </w:r>
      <w:r w:rsidR="005B369C">
        <w:rPr>
          <w:rFonts w:ascii="Calibri" w:eastAsiaTheme="minorHAnsi" w:hAnsi="Calibri" w:cs="Calibri"/>
        </w:rPr>
        <w:t>,</w:t>
      </w:r>
      <w:r w:rsidR="00637CC5">
        <w:rPr>
          <w:rFonts w:ascii="Calibri" w:eastAsiaTheme="minorHAnsi" w:hAnsi="Calibri" w:cs="Calibri"/>
        </w:rPr>
        <w:t xml:space="preserve"> and image processing.</w:t>
      </w:r>
    </w:p>
    <w:p w14:paraId="4D9056F9" w14:textId="77777777" w:rsidR="002F6CD2" w:rsidRPr="00CB48CA" w:rsidRDefault="002F6CD2" w:rsidP="00CB48CA">
      <w:pPr>
        <w:autoSpaceDE w:val="0"/>
        <w:autoSpaceDN w:val="0"/>
        <w:adjustRightInd w:val="0"/>
        <w:rPr>
          <w:rFonts w:ascii="Garamond" w:hAnsi="Garamon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9"/>
        <w:gridCol w:w="2342"/>
        <w:gridCol w:w="2628"/>
        <w:gridCol w:w="2717"/>
        <w:gridCol w:w="3464"/>
      </w:tblGrid>
      <w:tr w:rsidR="009A3475" w14:paraId="3FC6091C" w14:textId="77777777" w:rsidTr="005B369C">
        <w:tc>
          <w:tcPr>
            <w:tcW w:w="867" w:type="pct"/>
            <w:vAlign w:val="center"/>
          </w:tcPr>
          <w:p w14:paraId="13E08B8A" w14:textId="63EC8D9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  <w:r w:rsidR="002F6CD2">
              <w:rPr>
                <w:rStyle w:val="FootnoteReference"/>
                <w:rFonts w:ascii="Garamond" w:hAnsi="Garamond"/>
                <w:b/>
              </w:rPr>
              <w:footnoteReference w:id="1"/>
            </w:r>
          </w:p>
        </w:tc>
        <w:tc>
          <w:tcPr>
            <w:tcW w:w="868" w:type="pct"/>
            <w:vAlign w:val="center"/>
          </w:tcPr>
          <w:p w14:paraId="2855EE06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974" w:type="pct"/>
            <w:vAlign w:val="center"/>
          </w:tcPr>
          <w:p w14:paraId="03991B33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1007" w:type="pct"/>
            <w:vAlign w:val="center"/>
          </w:tcPr>
          <w:p w14:paraId="23B51DCA" w14:textId="52A44DF6" w:rsidR="009A3475" w:rsidRPr="006C661C" w:rsidRDefault="005B369C" w:rsidP="007C696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Reinforces</w:t>
            </w:r>
          </w:p>
        </w:tc>
        <w:tc>
          <w:tcPr>
            <w:tcW w:w="1284" w:type="pct"/>
            <w:vAlign w:val="center"/>
          </w:tcPr>
          <w:p w14:paraId="764492F0" w14:textId="77777777" w:rsidR="009A3475" w:rsidRPr="006C661C" w:rsidRDefault="009A3475" w:rsidP="007C6964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813B69" w14:paraId="34AAAAA0" w14:textId="77777777" w:rsidTr="005B369C">
        <w:tc>
          <w:tcPr>
            <w:tcW w:w="867" w:type="pct"/>
            <w:vAlign w:val="center"/>
          </w:tcPr>
          <w:p w14:paraId="2B583DD5" w14:textId="3FFA7663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1. Develop a strong conceptual model for a geospatial problem. </w:t>
            </w:r>
          </w:p>
        </w:tc>
        <w:tc>
          <w:tcPr>
            <w:tcW w:w="868" w:type="pct"/>
            <w:vAlign w:val="center"/>
          </w:tcPr>
          <w:p w14:paraId="7348D2DE" w14:textId="408597A9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design a conceptual model for a problem.</w:t>
            </w:r>
          </w:p>
        </w:tc>
        <w:tc>
          <w:tcPr>
            <w:tcW w:w="974" w:type="pct"/>
            <w:vAlign w:val="center"/>
          </w:tcPr>
          <w:p w14:paraId="4BCE7B38" w14:textId="15F22C9C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 the principles behind a conceptual model.</w:t>
            </w:r>
          </w:p>
        </w:tc>
        <w:tc>
          <w:tcPr>
            <w:tcW w:w="1007" w:type="pct"/>
            <w:vAlign w:val="center"/>
          </w:tcPr>
          <w:p w14:paraId="4B59F4D3" w14:textId="2B9295CE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design a conceptual model for a simple problem.</w:t>
            </w:r>
          </w:p>
        </w:tc>
        <w:tc>
          <w:tcPr>
            <w:tcW w:w="1284" w:type="pct"/>
            <w:vAlign w:val="center"/>
          </w:tcPr>
          <w:p w14:paraId="5512288E" w14:textId="0FFD98B2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Demonstrate a nuanced understanding of a conceptual model even for the most complex examples.</w:t>
            </w:r>
          </w:p>
        </w:tc>
      </w:tr>
      <w:tr w:rsidR="00813B69" w14:paraId="32B3851E" w14:textId="77777777" w:rsidTr="005B369C">
        <w:tc>
          <w:tcPr>
            <w:tcW w:w="867" w:type="pct"/>
            <w:vAlign w:val="center"/>
          </w:tcPr>
          <w:p w14:paraId="1CA2AAB5" w14:textId="01981BDF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2. Transform conceptual model to geospatial components.</w:t>
            </w:r>
          </w:p>
        </w:tc>
        <w:tc>
          <w:tcPr>
            <w:tcW w:w="868" w:type="pct"/>
            <w:vAlign w:val="center"/>
          </w:tcPr>
          <w:p w14:paraId="277BB5FA" w14:textId="067111EA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make this transformation.</w:t>
            </w:r>
          </w:p>
        </w:tc>
        <w:tc>
          <w:tcPr>
            <w:tcW w:w="974" w:type="pct"/>
            <w:vAlign w:val="center"/>
          </w:tcPr>
          <w:p w14:paraId="5000F197" w14:textId="473032E3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 a high-level understanding of this transformation</w:t>
            </w:r>
          </w:p>
        </w:tc>
        <w:tc>
          <w:tcPr>
            <w:tcW w:w="1007" w:type="pct"/>
            <w:vAlign w:val="center"/>
          </w:tcPr>
          <w:p w14:paraId="4F41096B" w14:textId="371F5228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make this transformation for simple models</w:t>
            </w:r>
          </w:p>
        </w:tc>
        <w:tc>
          <w:tcPr>
            <w:tcW w:w="1284" w:type="pct"/>
            <w:vAlign w:val="center"/>
          </w:tcPr>
          <w:p w14:paraId="0D13265D" w14:textId="50BD9859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make this transformation for complex models.</w:t>
            </w:r>
          </w:p>
        </w:tc>
      </w:tr>
      <w:tr w:rsidR="00813B69" w14:paraId="0FA970B9" w14:textId="77777777" w:rsidTr="005B369C">
        <w:tc>
          <w:tcPr>
            <w:tcW w:w="867" w:type="pct"/>
            <w:vAlign w:val="center"/>
          </w:tcPr>
          <w:p w14:paraId="2C06A6BE" w14:textId="1F2F761D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 Master geocomputation skills for problem solving.</w:t>
            </w:r>
          </w:p>
        </w:tc>
        <w:tc>
          <w:tcPr>
            <w:tcW w:w="868" w:type="pct"/>
            <w:vAlign w:val="center"/>
          </w:tcPr>
          <w:p w14:paraId="16378E82" w14:textId="09065FA7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write simple geo-spatial computer programs.</w:t>
            </w:r>
          </w:p>
        </w:tc>
        <w:tc>
          <w:tcPr>
            <w:tcW w:w="974" w:type="pct"/>
            <w:vAlign w:val="center"/>
          </w:tcPr>
          <w:p w14:paraId="6C62CFA4" w14:textId="3CFF40AF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write simple geo-spatial scripts.</w:t>
            </w:r>
          </w:p>
        </w:tc>
        <w:tc>
          <w:tcPr>
            <w:tcW w:w="1007" w:type="pct"/>
            <w:vAlign w:val="center"/>
          </w:tcPr>
          <w:p w14:paraId="25C4AC2F" w14:textId="58C77DD6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write complex geo-spatial programs.</w:t>
            </w:r>
          </w:p>
        </w:tc>
        <w:tc>
          <w:tcPr>
            <w:tcW w:w="1284" w:type="pct"/>
            <w:vAlign w:val="center"/>
          </w:tcPr>
          <w:p w14:paraId="050E463E" w14:textId="68B8B654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Masters ability to creation complex geo-spatial models using a programming language.</w:t>
            </w:r>
          </w:p>
        </w:tc>
      </w:tr>
      <w:tr w:rsidR="00813B69" w14:paraId="2F8047DE" w14:textId="77777777" w:rsidTr="005B369C">
        <w:tc>
          <w:tcPr>
            <w:tcW w:w="867" w:type="pct"/>
            <w:vAlign w:val="center"/>
          </w:tcPr>
          <w:p w14:paraId="72562586" w14:textId="1CB5FB37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4. Design and implement a geospatial database environment. </w:t>
            </w:r>
          </w:p>
        </w:tc>
        <w:tc>
          <w:tcPr>
            <w:tcW w:w="868" w:type="pct"/>
            <w:vAlign w:val="center"/>
          </w:tcPr>
          <w:p w14:paraId="6DEA67FC" w14:textId="3840B3B6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Doesn’t understand the basic concepts of geospatial databases.</w:t>
            </w:r>
          </w:p>
        </w:tc>
        <w:tc>
          <w:tcPr>
            <w:tcW w:w="974" w:type="pct"/>
            <w:vAlign w:val="center"/>
          </w:tcPr>
          <w:p w14:paraId="54A41460" w14:textId="671EF006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Understands the concepts of geospatial databases but cannot implement them.</w:t>
            </w:r>
          </w:p>
        </w:tc>
        <w:tc>
          <w:tcPr>
            <w:tcW w:w="1007" w:type="pct"/>
            <w:vAlign w:val="center"/>
          </w:tcPr>
          <w:p w14:paraId="35AE7B05" w14:textId="5845FEA4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implement/stand-up a geospatial database.</w:t>
            </w:r>
          </w:p>
        </w:tc>
        <w:tc>
          <w:tcPr>
            <w:tcW w:w="1284" w:type="pct"/>
            <w:vAlign w:val="center"/>
          </w:tcPr>
          <w:p w14:paraId="01B247FC" w14:textId="06F5B82A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implement/stand-up a geospatial database and implement a conceptual model as a logical implementation.</w:t>
            </w:r>
          </w:p>
        </w:tc>
      </w:tr>
      <w:tr w:rsidR="00813B69" w14:paraId="0D512D2A" w14:textId="77777777" w:rsidTr="005B369C">
        <w:tc>
          <w:tcPr>
            <w:tcW w:w="867" w:type="pct"/>
            <w:vAlign w:val="center"/>
          </w:tcPr>
          <w:p w14:paraId="6751E7C4" w14:textId="684F9593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 Have conceptual and operational understanding of image processing.</w:t>
            </w:r>
          </w:p>
        </w:tc>
        <w:tc>
          <w:tcPr>
            <w:tcW w:w="868" w:type="pct"/>
            <w:vAlign w:val="center"/>
          </w:tcPr>
          <w:p w14:paraId="4C352C0F" w14:textId="7820451F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Unable to understand the fundamentals of remote sensing principles.</w:t>
            </w:r>
          </w:p>
        </w:tc>
        <w:tc>
          <w:tcPr>
            <w:tcW w:w="974" w:type="pct"/>
            <w:vAlign w:val="center"/>
          </w:tcPr>
          <w:p w14:paraId="2EE81DD5" w14:textId="2D3311A7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Has a solid understanding of remote sensing principles.</w:t>
            </w:r>
          </w:p>
        </w:tc>
        <w:tc>
          <w:tcPr>
            <w:tcW w:w="1007" w:type="pct"/>
            <w:vAlign w:val="center"/>
          </w:tcPr>
          <w:p w14:paraId="19CD3AD0" w14:textId="750A79F1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implement remote sensing algorithms to conduct classification of remotely sensed data (i.e. imagery, LiDAR, etc.)</w:t>
            </w:r>
          </w:p>
        </w:tc>
        <w:tc>
          <w:tcPr>
            <w:tcW w:w="1284" w:type="pct"/>
            <w:vAlign w:val="center"/>
          </w:tcPr>
          <w:p w14:paraId="71560D82" w14:textId="2BC97FDD" w:rsidR="00813B69" w:rsidRDefault="00813B69" w:rsidP="00813B6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design, develop and implement a complex series of image processing algorithms within the context of solving real-world problems.</w:t>
            </w:r>
          </w:p>
        </w:tc>
      </w:tr>
      <w:tr w:rsidR="002D2375" w14:paraId="74B16440" w14:textId="77777777" w:rsidTr="005B369C">
        <w:tc>
          <w:tcPr>
            <w:tcW w:w="867" w:type="pct"/>
            <w:vAlign w:val="center"/>
          </w:tcPr>
          <w:p w14:paraId="6B2D36B6" w14:textId="2E4B0D4E" w:rsidR="002D2375" w:rsidRDefault="002D2375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6. Represent and communicate geo-spatial information </w:t>
            </w:r>
            <w:r w:rsidR="005D54FC">
              <w:rPr>
                <w:rFonts w:ascii="Garamond" w:hAnsi="Garamond"/>
              </w:rPr>
              <w:t>and images.</w:t>
            </w:r>
          </w:p>
        </w:tc>
        <w:tc>
          <w:tcPr>
            <w:tcW w:w="868" w:type="pct"/>
            <w:vAlign w:val="center"/>
          </w:tcPr>
          <w:p w14:paraId="4098E359" w14:textId="10F639C5" w:rsidR="002D2375" w:rsidRDefault="002D2375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effectively represent and clearly communicate geo-spatial information and </w:t>
            </w:r>
            <w:r w:rsidR="005D54FC">
              <w:rPr>
                <w:rFonts w:ascii="Garamond" w:hAnsi="Garamond"/>
              </w:rPr>
              <w:t>images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974" w:type="pct"/>
            <w:vAlign w:val="center"/>
          </w:tcPr>
          <w:p w14:paraId="4456914B" w14:textId="62A3AB1D" w:rsidR="002D2375" w:rsidRDefault="00A34DB6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Understand basic principles of cartographic representation and c</w:t>
            </w:r>
            <w:r w:rsidR="002D2375">
              <w:rPr>
                <w:rFonts w:ascii="Garamond" w:hAnsi="Garamond"/>
              </w:rPr>
              <w:t xml:space="preserve">an produce </w:t>
            </w:r>
            <w:r>
              <w:rPr>
                <w:rFonts w:ascii="Garamond" w:hAnsi="Garamond"/>
              </w:rPr>
              <w:t xml:space="preserve">simple </w:t>
            </w:r>
            <w:r w:rsidR="002D2375">
              <w:rPr>
                <w:rFonts w:ascii="Garamond" w:hAnsi="Garamond"/>
              </w:rPr>
              <w:t xml:space="preserve">static and </w:t>
            </w:r>
            <w:r>
              <w:rPr>
                <w:rFonts w:ascii="Garamond" w:hAnsi="Garamond"/>
              </w:rPr>
              <w:t>interactive</w:t>
            </w:r>
            <w:r w:rsidR="002D2375">
              <w:rPr>
                <w:rFonts w:ascii="Garamond" w:hAnsi="Garamond"/>
              </w:rPr>
              <w:t xml:space="preserve"> maps</w:t>
            </w:r>
            <w:r>
              <w:rPr>
                <w:rFonts w:ascii="Garamond" w:hAnsi="Garamond"/>
              </w:rPr>
              <w:t xml:space="preserve"> to communicate geo-spatial information</w:t>
            </w:r>
            <w:r w:rsidR="005D54FC">
              <w:rPr>
                <w:rFonts w:ascii="Garamond" w:hAnsi="Garamond"/>
              </w:rPr>
              <w:t xml:space="preserve"> and images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1007" w:type="pct"/>
            <w:vAlign w:val="center"/>
          </w:tcPr>
          <w:p w14:paraId="4810BA6B" w14:textId="1CD11A5D" w:rsidR="002D2375" w:rsidRDefault="00A34DB6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implement specific styles and techniques to represent geo-</w:t>
            </w:r>
            <w:r w:rsidR="00F468E6">
              <w:rPr>
                <w:rFonts w:ascii="Garamond" w:hAnsi="Garamond"/>
              </w:rPr>
              <w:t xml:space="preserve">spatial </w:t>
            </w:r>
            <w:r>
              <w:rPr>
                <w:rFonts w:ascii="Garamond" w:hAnsi="Garamond"/>
              </w:rPr>
              <w:t xml:space="preserve">information </w:t>
            </w:r>
            <w:r w:rsidR="005D54FC">
              <w:rPr>
                <w:rFonts w:ascii="Garamond" w:hAnsi="Garamond"/>
              </w:rPr>
              <w:t xml:space="preserve">and images </w:t>
            </w:r>
            <w:r w:rsidR="00B97CFF">
              <w:rPr>
                <w:rFonts w:ascii="Garamond" w:hAnsi="Garamond"/>
              </w:rPr>
              <w:t xml:space="preserve">and communicate </w:t>
            </w:r>
            <w:r w:rsidR="005D54FC">
              <w:rPr>
                <w:rFonts w:ascii="Garamond" w:hAnsi="Garamond"/>
              </w:rPr>
              <w:t xml:space="preserve">them </w:t>
            </w:r>
            <w:r w:rsidR="00F468E6">
              <w:rPr>
                <w:rFonts w:ascii="Garamond" w:hAnsi="Garamond"/>
              </w:rPr>
              <w:t xml:space="preserve">with </w:t>
            </w:r>
            <w:r w:rsidR="00B97CFF">
              <w:rPr>
                <w:rFonts w:ascii="Garamond" w:hAnsi="Garamond"/>
              </w:rPr>
              <w:t xml:space="preserve">maps, reports, posters, </w:t>
            </w:r>
            <w:r w:rsidR="00F468E6">
              <w:rPr>
                <w:rFonts w:ascii="Garamond" w:hAnsi="Garamond"/>
              </w:rPr>
              <w:t xml:space="preserve">and WebGIS.  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284" w:type="pct"/>
            <w:vAlign w:val="center"/>
          </w:tcPr>
          <w:p w14:paraId="44CC8259" w14:textId="2BB899F3" w:rsidR="002D2375" w:rsidRDefault="00F468E6" w:rsidP="007C6964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Can implement</w:t>
            </w:r>
            <w:r w:rsidR="00B97CFF">
              <w:rPr>
                <w:rFonts w:ascii="Garamond" w:hAnsi="Garamond"/>
              </w:rPr>
              <w:t xml:space="preserve"> and integrate</w:t>
            </w:r>
            <w:r>
              <w:rPr>
                <w:rFonts w:ascii="Garamond" w:hAnsi="Garamond"/>
              </w:rPr>
              <w:t xml:space="preserve"> </w:t>
            </w:r>
            <w:r w:rsidR="005B369C">
              <w:rPr>
                <w:rFonts w:ascii="Garamond" w:hAnsi="Garamond"/>
              </w:rPr>
              <w:t xml:space="preserve">various </w:t>
            </w:r>
            <w:r w:rsidR="005D54FC">
              <w:rPr>
                <w:rFonts w:ascii="Garamond" w:hAnsi="Garamond"/>
              </w:rPr>
              <w:t xml:space="preserve">methods of </w:t>
            </w:r>
            <w:r w:rsidR="00B97CFF">
              <w:rPr>
                <w:rFonts w:ascii="Garamond" w:hAnsi="Garamond"/>
              </w:rPr>
              <w:t>representation</w:t>
            </w:r>
            <w:r w:rsidR="005D54FC">
              <w:rPr>
                <w:rFonts w:ascii="Garamond" w:hAnsi="Garamond"/>
              </w:rPr>
              <w:t xml:space="preserve"> to communicate spatial information and images in the forms of maps, posters,</w:t>
            </w:r>
            <w:r w:rsidR="00B97CFF">
              <w:rPr>
                <w:rFonts w:ascii="Garamond" w:hAnsi="Garamond"/>
              </w:rPr>
              <w:t xml:space="preserve"> multimedia, </w:t>
            </w:r>
            <w:r w:rsidR="00FE229C">
              <w:rPr>
                <w:rFonts w:ascii="Garamond" w:hAnsi="Garamond"/>
              </w:rPr>
              <w:t>customized</w:t>
            </w:r>
            <w:r w:rsidR="00B97CFF">
              <w:rPr>
                <w:rFonts w:ascii="Garamond" w:hAnsi="Garamond"/>
              </w:rPr>
              <w:t xml:space="preserve"> WebGIS, and animations. </w:t>
            </w:r>
          </w:p>
        </w:tc>
      </w:tr>
    </w:tbl>
    <w:p w14:paraId="39B58D97" w14:textId="77777777" w:rsidR="005015E2" w:rsidRDefault="005015E2"/>
    <w:sectPr w:rsidR="005015E2" w:rsidSect="005B369C">
      <w:pgSz w:w="15840" w:h="12240" w:orient="landscape"/>
      <w:pgMar w:top="630" w:right="90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7BC9A" w14:textId="77777777" w:rsidR="009A3411" w:rsidRDefault="009A3411" w:rsidP="002F6CD2">
      <w:r>
        <w:separator/>
      </w:r>
    </w:p>
  </w:endnote>
  <w:endnote w:type="continuationSeparator" w:id="0">
    <w:p w14:paraId="4C349F8A" w14:textId="77777777" w:rsidR="009A3411" w:rsidRDefault="009A3411" w:rsidP="002F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63C55" w14:textId="77777777" w:rsidR="009A3411" w:rsidRDefault="009A3411" w:rsidP="002F6CD2">
      <w:r>
        <w:separator/>
      </w:r>
    </w:p>
  </w:footnote>
  <w:footnote w:type="continuationSeparator" w:id="0">
    <w:p w14:paraId="6AB3B0C0" w14:textId="77777777" w:rsidR="009A3411" w:rsidRDefault="009A3411" w:rsidP="002F6CD2">
      <w:r>
        <w:continuationSeparator/>
      </w:r>
    </w:p>
  </w:footnote>
  <w:footnote w:id="1">
    <w:p w14:paraId="0500C11C" w14:textId="0B4ABF0F" w:rsidR="00D50797" w:rsidRDefault="00D50797">
      <w:pPr>
        <w:pStyle w:val="FootnoteText"/>
      </w:pPr>
      <w:r>
        <w:rPr>
          <w:rStyle w:val="FootnoteReference"/>
        </w:rPr>
        <w:footnoteRef/>
      </w:r>
      <w:r>
        <w:t xml:space="preserve"> Each PLO can have multiple specific learning outcomes.  This PLO has five defined learning outcomes.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377E3"/>
    <w:multiLevelType w:val="hybridMultilevel"/>
    <w:tmpl w:val="0AC2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A5"/>
    <w:rsid w:val="00002D76"/>
    <w:rsid w:val="00030D68"/>
    <w:rsid w:val="00061E6B"/>
    <w:rsid w:val="000979D2"/>
    <w:rsid w:val="000B4665"/>
    <w:rsid w:val="000B65F0"/>
    <w:rsid w:val="000E077D"/>
    <w:rsid w:val="000E0B29"/>
    <w:rsid w:val="000E555F"/>
    <w:rsid w:val="00132B8B"/>
    <w:rsid w:val="00136830"/>
    <w:rsid w:val="00165F6D"/>
    <w:rsid w:val="001714AF"/>
    <w:rsid w:val="001814F0"/>
    <w:rsid w:val="001960AF"/>
    <w:rsid w:val="001A0626"/>
    <w:rsid w:val="001B2637"/>
    <w:rsid w:val="001C60CF"/>
    <w:rsid w:val="001D0645"/>
    <w:rsid w:val="001F3345"/>
    <w:rsid w:val="00211AAA"/>
    <w:rsid w:val="00213913"/>
    <w:rsid w:val="00232B8E"/>
    <w:rsid w:val="00262F6C"/>
    <w:rsid w:val="00277180"/>
    <w:rsid w:val="002929C2"/>
    <w:rsid w:val="002C4EB0"/>
    <w:rsid w:val="002D2375"/>
    <w:rsid w:val="002E6998"/>
    <w:rsid w:val="002E6DB8"/>
    <w:rsid w:val="002F6CD2"/>
    <w:rsid w:val="00310ED8"/>
    <w:rsid w:val="00321FAB"/>
    <w:rsid w:val="00327932"/>
    <w:rsid w:val="0035444A"/>
    <w:rsid w:val="003663C6"/>
    <w:rsid w:val="003905D0"/>
    <w:rsid w:val="003B3FA6"/>
    <w:rsid w:val="003C7815"/>
    <w:rsid w:val="00426B61"/>
    <w:rsid w:val="00457C2A"/>
    <w:rsid w:val="004A012D"/>
    <w:rsid w:val="004B144B"/>
    <w:rsid w:val="004B6891"/>
    <w:rsid w:val="004F4D8A"/>
    <w:rsid w:val="005015E2"/>
    <w:rsid w:val="00574475"/>
    <w:rsid w:val="005A2912"/>
    <w:rsid w:val="005A3C6D"/>
    <w:rsid w:val="005B369C"/>
    <w:rsid w:val="005D49FD"/>
    <w:rsid w:val="005D54FC"/>
    <w:rsid w:val="005E1B2B"/>
    <w:rsid w:val="0060137D"/>
    <w:rsid w:val="00615C18"/>
    <w:rsid w:val="00620729"/>
    <w:rsid w:val="00637CC5"/>
    <w:rsid w:val="00651044"/>
    <w:rsid w:val="006B2BDD"/>
    <w:rsid w:val="006C661C"/>
    <w:rsid w:val="006E4CA4"/>
    <w:rsid w:val="00711FA1"/>
    <w:rsid w:val="00712B32"/>
    <w:rsid w:val="0071439E"/>
    <w:rsid w:val="00726EC8"/>
    <w:rsid w:val="00736DC9"/>
    <w:rsid w:val="00774DF3"/>
    <w:rsid w:val="0077578A"/>
    <w:rsid w:val="00791202"/>
    <w:rsid w:val="007C6964"/>
    <w:rsid w:val="007F6452"/>
    <w:rsid w:val="00813B69"/>
    <w:rsid w:val="008230AF"/>
    <w:rsid w:val="00836DFC"/>
    <w:rsid w:val="00862CEC"/>
    <w:rsid w:val="00866D18"/>
    <w:rsid w:val="008763CC"/>
    <w:rsid w:val="00907016"/>
    <w:rsid w:val="009118B4"/>
    <w:rsid w:val="00914F7F"/>
    <w:rsid w:val="00933FC4"/>
    <w:rsid w:val="00973865"/>
    <w:rsid w:val="0098089E"/>
    <w:rsid w:val="009A0CFA"/>
    <w:rsid w:val="009A3411"/>
    <w:rsid w:val="009A3475"/>
    <w:rsid w:val="00A20BC0"/>
    <w:rsid w:val="00A34DB6"/>
    <w:rsid w:val="00A54F65"/>
    <w:rsid w:val="00A601CE"/>
    <w:rsid w:val="00AD54F5"/>
    <w:rsid w:val="00B14DA4"/>
    <w:rsid w:val="00B22B52"/>
    <w:rsid w:val="00B32A6B"/>
    <w:rsid w:val="00B97CFF"/>
    <w:rsid w:val="00BB57FF"/>
    <w:rsid w:val="00BC1C41"/>
    <w:rsid w:val="00BC3341"/>
    <w:rsid w:val="00BD42D1"/>
    <w:rsid w:val="00BF444F"/>
    <w:rsid w:val="00C0571A"/>
    <w:rsid w:val="00C12D5D"/>
    <w:rsid w:val="00C30321"/>
    <w:rsid w:val="00C3344A"/>
    <w:rsid w:val="00C4169B"/>
    <w:rsid w:val="00C66D3E"/>
    <w:rsid w:val="00C92E5B"/>
    <w:rsid w:val="00CB48CA"/>
    <w:rsid w:val="00CD44FF"/>
    <w:rsid w:val="00D16638"/>
    <w:rsid w:val="00D369FE"/>
    <w:rsid w:val="00D50797"/>
    <w:rsid w:val="00D560F8"/>
    <w:rsid w:val="00D565A5"/>
    <w:rsid w:val="00D75740"/>
    <w:rsid w:val="00D80E15"/>
    <w:rsid w:val="00D96097"/>
    <w:rsid w:val="00DA405B"/>
    <w:rsid w:val="00DB52F7"/>
    <w:rsid w:val="00E62A43"/>
    <w:rsid w:val="00E73D20"/>
    <w:rsid w:val="00E81864"/>
    <w:rsid w:val="00E855A2"/>
    <w:rsid w:val="00EB2486"/>
    <w:rsid w:val="00EC0F71"/>
    <w:rsid w:val="00EC313B"/>
    <w:rsid w:val="00EE55E5"/>
    <w:rsid w:val="00EE7EF5"/>
    <w:rsid w:val="00F0085C"/>
    <w:rsid w:val="00F468E6"/>
    <w:rsid w:val="00FC4D80"/>
    <w:rsid w:val="00FD1F54"/>
    <w:rsid w:val="00FE229C"/>
    <w:rsid w:val="00FE36F1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523DB"/>
  <w14:defaultImageDpi w14:val="32767"/>
  <w15:docId w15:val="{4B72B470-FAD9-4646-8E5D-C3B81A0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A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56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5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5E2"/>
    <w:rPr>
      <w:rFonts w:ascii="Lucida Grande" w:eastAsiaTheme="minorEastAsia" w:hAnsi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2F6CD2"/>
  </w:style>
  <w:style w:type="character" w:customStyle="1" w:styleId="FootnoteTextChar">
    <w:name w:val="Footnote Text Char"/>
    <w:basedOn w:val="DefaultParagraphFont"/>
    <w:link w:val="FootnoteText"/>
    <w:uiPriority w:val="99"/>
    <w:rsid w:val="002F6CD2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2F6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C220D39-F9EF-C343-AC11-E37A2CF7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2026-02-04T20:25:00Z</dcterms:created>
  <dcterms:modified xsi:type="dcterms:W3CDTF">2026-02-04T20:25:00Z</dcterms:modified>
</cp:coreProperties>
</file>