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A2C44F" w14:textId="77777777" w:rsidR="006C661C" w:rsidRPr="006C661C" w:rsidRDefault="006C661C" w:rsidP="006C661C">
      <w:pPr>
        <w:rPr>
          <w:rFonts w:ascii="Garamond" w:hAnsi="Garamond"/>
          <w:b/>
        </w:rPr>
      </w:pPr>
      <w:r w:rsidRPr="006C661C">
        <w:rPr>
          <w:b/>
        </w:rPr>
        <w:t>Program Level Learning Outcome Assessment</w:t>
      </w:r>
    </w:p>
    <w:p w14:paraId="5051B6AE" w14:textId="5B7EB47F" w:rsidR="006C661C" w:rsidRPr="00D00F07" w:rsidRDefault="003A2200" w:rsidP="006C661C">
      <w:pPr>
        <w:tabs>
          <w:tab w:val="right" w:pos="14400"/>
        </w:tabs>
        <w:spacing w:line="240" w:lineRule="exact"/>
        <w:rPr>
          <w:b/>
        </w:rPr>
      </w:pPr>
      <w:r>
        <w:rPr>
          <w:b/>
        </w:rPr>
        <w:t xml:space="preserve">MA </w:t>
      </w:r>
      <w:r w:rsidR="00CB48CA">
        <w:rPr>
          <w:b/>
        </w:rPr>
        <w:t>Geography</w:t>
      </w:r>
    </w:p>
    <w:p w14:paraId="55A0C634" w14:textId="5ABF0F87" w:rsidR="00D565A5" w:rsidRPr="00CB48CA" w:rsidRDefault="00B22B52" w:rsidP="00CB48CA">
      <w:pPr>
        <w:autoSpaceDE w:val="0"/>
        <w:autoSpaceDN w:val="0"/>
        <w:adjustRightInd w:val="0"/>
        <w:rPr>
          <w:rFonts w:ascii="Garamond" w:hAnsi="Garamond"/>
        </w:rPr>
      </w:pPr>
      <w:r w:rsidRPr="00B22B52">
        <w:rPr>
          <w:rFonts w:ascii="Calibri" w:hAnsi="Calibri" w:cs="Calibri"/>
          <w:b/>
        </w:rPr>
        <w:t>PLO</w:t>
      </w:r>
      <w:r w:rsidR="00D0004C">
        <w:rPr>
          <w:rFonts w:ascii="Calibri" w:hAnsi="Calibri" w:cs="Calibri"/>
          <w:b/>
        </w:rPr>
        <w:t>1</w:t>
      </w:r>
      <w:bookmarkStart w:id="0" w:name="_GoBack"/>
      <w:bookmarkEnd w:id="0"/>
      <w:r w:rsidRPr="00B22B52">
        <w:rPr>
          <w:rFonts w:ascii="Calibri" w:hAnsi="Calibri" w:cs="Calibri"/>
          <w:b/>
        </w:rPr>
        <w:t>:</w:t>
      </w:r>
      <w:r w:rsidRPr="00B22B52">
        <w:rPr>
          <w:rFonts w:ascii="Calibri" w:eastAsiaTheme="minorHAnsi" w:hAnsi="Calibri" w:cs="Calibri"/>
          <w:b/>
        </w:rPr>
        <w:t xml:space="preserve"> </w:t>
      </w:r>
      <w:r w:rsidR="00C67D47" w:rsidRPr="008C0791">
        <w:t>Students</w:t>
      </w:r>
      <w:r w:rsidR="00C67D47">
        <w:t xml:space="preserve"> will be able to state how a research project contributes to an existing body of geographic literature.  The MA program emphasizes the geographic approach, where students apply concepts of space, place, location, scale, borders and regions, for example, to examine and test hypotheses regarding natural and human systems and explain association and causation in human-environment interactions.</w:t>
      </w:r>
    </w:p>
    <w:tbl>
      <w:tblPr>
        <w:tblStyle w:val="TableGrid"/>
        <w:tblW w:w="5000" w:type="pct"/>
        <w:tblLook w:val="04A0" w:firstRow="1" w:lastRow="0" w:firstColumn="1" w:lastColumn="0" w:noHBand="0" w:noVBand="1"/>
      </w:tblPr>
      <w:tblGrid>
        <w:gridCol w:w="1930"/>
        <w:gridCol w:w="2279"/>
        <w:gridCol w:w="2406"/>
        <w:gridCol w:w="2499"/>
        <w:gridCol w:w="3836"/>
      </w:tblGrid>
      <w:tr w:rsidR="009A3475" w14:paraId="3FC6091C" w14:textId="77777777" w:rsidTr="007C6964">
        <w:tc>
          <w:tcPr>
            <w:tcW w:w="745" w:type="pct"/>
            <w:vAlign w:val="center"/>
          </w:tcPr>
          <w:p w14:paraId="13E08B8A" w14:textId="77777777" w:rsidR="009A3475" w:rsidRPr="006C661C" w:rsidRDefault="009A3475" w:rsidP="007C6964">
            <w:pPr>
              <w:rPr>
                <w:rFonts w:ascii="Garamond" w:hAnsi="Garamond"/>
                <w:b/>
              </w:rPr>
            </w:pPr>
            <w:r w:rsidRPr="006C661C">
              <w:rPr>
                <w:rFonts w:ascii="Garamond" w:hAnsi="Garamond"/>
                <w:b/>
              </w:rPr>
              <w:t>Learning Outcome</w:t>
            </w:r>
          </w:p>
        </w:tc>
        <w:tc>
          <w:tcPr>
            <w:tcW w:w="880" w:type="pct"/>
            <w:vAlign w:val="center"/>
          </w:tcPr>
          <w:p w14:paraId="2855EE06" w14:textId="77777777" w:rsidR="009A3475" w:rsidRPr="006C661C" w:rsidRDefault="009A3475" w:rsidP="007C6964">
            <w:pPr>
              <w:rPr>
                <w:rFonts w:ascii="Garamond" w:hAnsi="Garamond"/>
                <w:b/>
              </w:rPr>
            </w:pPr>
            <w:r w:rsidRPr="006C661C">
              <w:rPr>
                <w:rFonts w:ascii="Garamond" w:hAnsi="Garamond"/>
                <w:b/>
              </w:rPr>
              <w:t>Does Not Meet Expectations</w:t>
            </w:r>
          </w:p>
        </w:tc>
        <w:tc>
          <w:tcPr>
            <w:tcW w:w="929" w:type="pct"/>
            <w:vAlign w:val="center"/>
          </w:tcPr>
          <w:p w14:paraId="03991B33" w14:textId="77777777" w:rsidR="009A3475" w:rsidRPr="006C661C" w:rsidRDefault="009A3475" w:rsidP="007C6964">
            <w:pPr>
              <w:rPr>
                <w:rFonts w:ascii="Garamond" w:hAnsi="Garamond"/>
                <w:b/>
              </w:rPr>
            </w:pPr>
            <w:r w:rsidRPr="006C661C">
              <w:rPr>
                <w:rFonts w:ascii="Garamond" w:hAnsi="Garamond"/>
                <w:b/>
              </w:rPr>
              <w:t>Approaches</w:t>
            </w:r>
          </w:p>
        </w:tc>
        <w:tc>
          <w:tcPr>
            <w:tcW w:w="965" w:type="pct"/>
            <w:vAlign w:val="center"/>
          </w:tcPr>
          <w:p w14:paraId="23B51DCA" w14:textId="77777777" w:rsidR="009A3475" w:rsidRPr="006C661C" w:rsidRDefault="009A3475" w:rsidP="007C6964">
            <w:pPr>
              <w:rPr>
                <w:rFonts w:ascii="Garamond" w:hAnsi="Garamond"/>
                <w:b/>
              </w:rPr>
            </w:pPr>
            <w:r w:rsidRPr="006C661C">
              <w:rPr>
                <w:rFonts w:ascii="Garamond" w:hAnsi="Garamond"/>
                <w:b/>
              </w:rPr>
              <w:t>Reinforces</w:t>
            </w:r>
          </w:p>
        </w:tc>
        <w:tc>
          <w:tcPr>
            <w:tcW w:w="1481" w:type="pct"/>
            <w:vAlign w:val="center"/>
          </w:tcPr>
          <w:p w14:paraId="764492F0" w14:textId="77777777" w:rsidR="009A3475" w:rsidRPr="006C661C" w:rsidRDefault="009A3475" w:rsidP="007C6964">
            <w:pPr>
              <w:rPr>
                <w:rFonts w:ascii="Garamond" w:hAnsi="Garamond"/>
                <w:b/>
              </w:rPr>
            </w:pPr>
            <w:r w:rsidRPr="006C661C">
              <w:rPr>
                <w:rFonts w:ascii="Garamond" w:hAnsi="Garamond"/>
                <w:b/>
              </w:rPr>
              <w:t>Masters</w:t>
            </w:r>
          </w:p>
        </w:tc>
      </w:tr>
      <w:tr w:rsidR="009A3475" w14:paraId="34AAAAA0" w14:textId="77777777" w:rsidTr="007C6964">
        <w:tc>
          <w:tcPr>
            <w:tcW w:w="745" w:type="pct"/>
            <w:vAlign w:val="center"/>
          </w:tcPr>
          <w:p w14:paraId="2B583DD5" w14:textId="2436EF32" w:rsidR="009A3475" w:rsidRDefault="00C41640" w:rsidP="007C6964">
            <w:pPr>
              <w:rPr>
                <w:rFonts w:ascii="Garamond" w:hAnsi="Garamond"/>
              </w:rPr>
            </w:pPr>
            <w:r>
              <w:rPr>
                <w:rFonts w:ascii="Garamond" w:hAnsi="Garamond"/>
              </w:rPr>
              <w:t>Be able to explain and discuss multiple theories in geography.</w:t>
            </w:r>
          </w:p>
        </w:tc>
        <w:tc>
          <w:tcPr>
            <w:tcW w:w="880" w:type="pct"/>
            <w:vAlign w:val="center"/>
          </w:tcPr>
          <w:p w14:paraId="7348D2DE" w14:textId="315C55F1" w:rsidR="009A3475" w:rsidRDefault="00C41640" w:rsidP="007C6964">
            <w:pPr>
              <w:rPr>
                <w:rFonts w:ascii="Garamond" w:hAnsi="Garamond"/>
              </w:rPr>
            </w:pPr>
            <w:r>
              <w:rPr>
                <w:rFonts w:ascii="Garamond" w:hAnsi="Garamond"/>
              </w:rPr>
              <w:t>Unable to explain and discuss multiple theories in geography.</w:t>
            </w:r>
          </w:p>
        </w:tc>
        <w:tc>
          <w:tcPr>
            <w:tcW w:w="929" w:type="pct"/>
            <w:vAlign w:val="center"/>
          </w:tcPr>
          <w:p w14:paraId="4BCE7B38" w14:textId="7128127E" w:rsidR="009A3475" w:rsidRDefault="00C41640" w:rsidP="007C6964">
            <w:pPr>
              <w:rPr>
                <w:rFonts w:ascii="Garamond" w:hAnsi="Garamond"/>
              </w:rPr>
            </w:pPr>
            <w:r>
              <w:rPr>
                <w:rFonts w:ascii="Garamond" w:hAnsi="Garamond"/>
              </w:rPr>
              <w:t>Students could identify at least two theories in geography.</w:t>
            </w:r>
          </w:p>
        </w:tc>
        <w:tc>
          <w:tcPr>
            <w:tcW w:w="965" w:type="pct"/>
            <w:vAlign w:val="center"/>
          </w:tcPr>
          <w:p w14:paraId="4B59F4D3" w14:textId="0AE84BDA" w:rsidR="009A3475" w:rsidRDefault="00C41640" w:rsidP="007C6964">
            <w:pPr>
              <w:rPr>
                <w:rFonts w:ascii="Garamond" w:hAnsi="Garamond"/>
              </w:rPr>
            </w:pPr>
            <w:r>
              <w:rPr>
                <w:rFonts w:ascii="Garamond" w:hAnsi="Garamond"/>
              </w:rPr>
              <w:t>Students were able to explain and discuss a wide variety of geographic theories.</w:t>
            </w:r>
          </w:p>
        </w:tc>
        <w:tc>
          <w:tcPr>
            <w:tcW w:w="1481" w:type="pct"/>
            <w:vAlign w:val="center"/>
          </w:tcPr>
          <w:p w14:paraId="5512288E" w14:textId="7B1951B5" w:rsidR="009A3475" w:rsidRDefault="00512E1F" w:rsidP="007C6964">
            <w:pPr>
              <w:rPr>
                <w:rFonts w:ascii="Garamond" w:hAnsi="Garamond"/>
              </w:rPr>
            </w:pPr>
            <w:r>
              <w:rPr>
                <w:rFonts w:ascii="Garamond" w:hAnsi="Garamond"/>
              </w:rPr>
              <w:t>Students were able to explain and discuss a wide variety of geographic theories. Students could compare and contrast theories and discuss applicability to different geographic research areas.</w:t>
            </w:r>
          </w:p>
        </w:tc>
      </w:tr>
      <w:tr w:rsidR="009A3475" w14:paraId="32B3851E" w14:textId="77777777" w:rsidTr="007C6964">
        <w:tc>
          <w:tcPr>
            <w:tcW w:w="745" w:type="pct"/>
            <w:vAlign w:val="center"/>
          </w:tcPr>
          <w:p w14:paraId="1CA2AAB5" w14:textId="1D8E1B47" w:rsidR="009A3475" w:rsidRDefault="00C41640" w:rsidP="007C6964">
            <w:pPr>
              <w:rPr>
                <w:rFonts w:ascii="Garamond" w:hAnsi="Garamond"/>
              </w:rPr>
            </w:pPr>
            <w:r>
              <w:rPr>
                <w:rFonts w:ascii="Garamond" w:hAnsi="Garamond"/>
              </w:rPr>
              <w:t>Be able to read and interpret journal articles written from particular theoretical perspectives</w:t>
            </w:r>
          </w:p>
        </w:tc>
        <w:tc>
          <w:tcPr>
            <w:tcW w:w="880" w:type="pct"/>
            <w:vAlign w:val="center"/>
          </w:tcPr>
          <w:p w14:paraId="277BB5FA" w14:textId="75E7F5EC" w:rsidR="009A3475" w:rsidRDefault="00C41640" w:rsidP="007C6964">
            <w:pPr>
              <w:rPr>
                <w:rFonts w:ascii="Garamond" w:hAnsi="Garamond"/>
              </w:rPr>
            </w:pPr>
            <w:r>
              <w:rPr>
                <w:rFonts w:ascii="Garamond" w:hAnsi="Garamond"/>
              </w:rPr>
              <w:t>Unable to interpret journal articles written from different theoretical perspectives.</w:t>
            </w:r>
          </w:p>
        </w:tc>
        <w:tc>
          <w:tcPr>
            <w:tcW w:w="929" w:type="pct"/>
            <w:vAlign w:val="center"/>
          </w:tcPr>
          <w:p w14:paraId="5000F197" w14:textId="0B4F31FD" w:rsidR="009A3475" w:rsidRDefault="00C41640" w:rsidP="007C6964">
            <w:pPr>
              <w:rPr>
                <w:rFonts w:ascii="Garamond" w:hAnsi="Garamond"/>
              </w:rPr>
            </w:pPr>
            <w:r>
              <w:rPr>
                <w:rFonts w:ascii="Garamond" w:hAnsi="Garamond"/>
              </w:rPr>
              <w:t>Students could interpret journal articles from at least two theoretical perspectives.</w:t>
            </w:r>
          </w:p>
        </w:tc>
        <w:tc>
          <w:tcPr>
            <w:tcW w:w="965" w:type="pct"/>
            <w:vAlign w:val="center"/>
          </w:tcPr>
          <w:p w14:paraId="4F41096B" w14:textId="3807D473" w:rsidR="009A3475" w:rsidRDefault="00C41640" w:rsidP="007C6964">
            <w:pPr>
              <w:rPr>
                <w:rFonts w:ascii="Garamond" w:hAnsi="Garamond"/>
              </w:rPr>
            </w:pPr>
            <w:r>
              <w:rPr>
                <w:rFonts w:ascii="Garamond" w:hAnsi="Garamond"/>
              </w:rPr>
              <w:t>Students were able to read and interpret multiple research articles from a wide variety of theoretical perspectives.</w:t>
            </w:r>
          </w:p>
        </w:tc>
        <w:tc>
          <w:tcPr>
            <w:tcW w:w="1481" w:type="pct"/>
            <w:vAlign w:val="center"/>
          </w:tcPr>
          <w:p w14:paraId="0D13265D" w14:textId="38CBE372" w:rsidR="009A3475" w:rsidRDefault="00512E1F" w:rsidP="007C6964">
            <w:pPr>
              <w:rPr>
                <w:rFonts w:ascii="Garamond" w:hAnsi="Garamond"/>
              </w:rPr>
            </w:pPr>
            <w:r>
              <w:rPr>
                <w:rFonts w:ascii="Garamond" w:hAnsi="Garamond"/>
              </w:rPr>
              <w:t>Students could analyze journal articles, link them to the broader field, develop ideas for “next questions” and make connections among the assigned articles. Student could explain how a research project connects to the broader field.</w:t>
            </w:r>
          </w:p>
        </w:tc>
      </w:tr>
      <w:tr w:rsidR="009A3475" w14:paraId="0FA970B9" w14:textId="77777777" w:rsidTr="007C6964">
        <w:tc>
          <w:tcPr>
            <w:tcW w:w="745" w:type="pct"/>
            <w:vAlign w:val="center"/>
          </w:tcPr>
          <w:p w14:paraId="2C06A6BE" w14:textId="50DC56E9" w:rsidR="009A3475" w:rsidRDefault="00C41640" w:rsidP="007C6964">
            <w:pPr>
              <w:rPr>
                <w:rFonts w:ascii="Garamond" w:hAnsi="Garamond"/>
              </w:rPr>
            </w:pPr>
            <w:r>
              <w:rPr>
                <w:rFonts w:ascii="Garamond" w:hAnsi="Garamond"/>
              </w:rPr>
              <w:t xml:space="preserve">Be able to lead discussions of journal articles. </w:t>
            </w:r>
          </w:p>
        </w:tc>
        <w:tc>
          <w:tcPr>
            <w:tcW w:w="880" w:type="pct"/>
            <w:vAlign w:val="center"/>
          </w:tcPr>
          <w:p w14:paraId="16378E82" w14:textId="37263C19" w:rsidR="009A3475" w:rsidRDefault="00C41640" w:rsidP="007C6964">
            <w:pPr>
              <w:rPr>
                <w:rFonts w:ascii="Garamond" w:hAnsi="Garamond"/>
              </w:rPr>
            </w:pPr>
            <w:r>
              <w:rPr>
                <w:rFonts w:ascii="Garamond" w:hAnsi="Garamond"/>
              </w:rPr>
              <w:t>Unable to lead class discussions or write critically about research and review articles.</w:t>
            </w:r>
          </w:p>
        </w:tc>
        <w:tc>
          <w:tcPr>
            <w:tcW w:w="929" w:type="pct"/>
            <w:vAlign w:val="center"/>
          </w:tcPr>
          <w:p w14:paraId="6C62CFA4" w14:textId="6164D74C" w:rsidR="009A3475" w:rsidRDefault="00C41640" w:rsidP="007C6964">
            <w:pPr>
              <w:rPr>
                <w:rFonts w:ascii="Garamond" w:hAnsi="Garamond"/>
              </w:rPr>
            </w:pPr>
            <w:r>
              <w:rPr>
                <w:rFonts w:ascii="Garamond" w:hAnsi="Garamond"/>
              </w:rPr>
              <w:t>Students were able to lead a very basic discussion of journal articles.</w:t>
            </w:r>
          </w:p>
        </w:tc>
        <w:tc>
          <w:tcPr>
            <w:tcW w:w="965" w:type="pct"/>
            <w:vAlign w:val="center"/>
          </w:tcPr>
          <w:p w14:paraId="25C4AC2F" w14:textId="4C66EC6F" w:rsidR="009A3475" w:rsidRDefault="00C41640" w:rsidP="007C6964">
            <w:pPr>
              <w:rPr>
                <w:rFonts w:ascii="Garamond" w:hAnsi="Garamond"/>
              </w:rPr>
            </w:pPr>
            <w:r>
              <w:rPr>
                <w:rFonts w:ascii="Garamond" w:hAnsi="Garamond"/>
              </w:rPr>
              <w:t xml:space="preserve">Students were able to lead insightful discussions about research and review articles. </w:t>
            </w:r>
          </w:p>
        </w:tc>
        <w:tc>
          <w:tcPr>
            <w:tcW w:w="1481" w:type="pct"/>
            <w:vAlign w:val="center"/>
          </w:tcPr>
          <w:p w14:paraId="050E463E" w14:textId="190CFCC1" w:rsidR="009A3475" w:rsidRDefault="00512E1F" w:rsidP="007C6964">
            <w:pPr>
              <w:rPr>
                <w:rFonts w:ascii="Garamond" w:hAnsi="Garamond"/>
              </w:rPr>
            </w:pPr>
            <w:r>
              <w:rPr>
                <w:rFonts w:ascii="Garamond" w:hAnsi="Garamond"/>
              </w:rPr>
              <w:t>Students were able to lead discussions, incorporating a description of methodology, results, interpretations and conclusions in a way that the entire class could understand. Student could lead class to a follow up research question.</w:t>
            </w:r>
          </w:p>
        </w:tc>
      </w:tr>
      <w:tr w:rsidR="009A3475" w14:paraId="2F8047DE" w14:textId="77777777" w:rsidTr="007C6964">
        <w:tc>
          <w:tcPr>
            <w:tcW w:w="745" w:type="pct"/>
            <w:vAlign w:val="center"/>
          </w:tcPr>
          <w:p w14:paraId="72562586" w14:textId="39CC4669" w:rsidR="009A3475" w:rsidRDefault="00C41640" w:rsidP="007C6964">
            <w:pPr>
              <w:rPr>
                <w:rFonts w:ascii="Garamond" w:hAnsi="Garamond"/>
              </w:rPr>
            </w:pPr>
            <w:r>
              <w:rPr>
                <w:rFonts w:ascii="Garamond" w:hAnsi="Garamond"/>
              </w:rPr>
              <w:t>Be able to critically examine and present research of scholars working in selected theoretical frameworks.</w:t>
            </w:r>
          </w:p>
        </w:tc>
        <w:tc>
          <w:tcPr>
            <w:tcW w:w="880" w:type="pct"/>
            <w:vAlign w:val="center"/>
          </w:tcPr>
          <w:p w14:paraId="6DEA67FC" w14:textId="172CA12D" w:rsidR="009A3475" w:rsidRDefault="00C41640" w:rsidP="007C6964">
            <w:pPr>
              <w:rPr>
                <w:rFonts w:ascii="Garamond" w:hAnsi="Garamond"/>
              </w:rPr>
            </w:pPr>
            <w:r>
              <w:rPr>
                <w:rFonts w:ascii="Garamond" w:hAnsi="Garamond"/>
              </w:rPr>
              <w:t>Unable to critically examine and present research of scholars working in selected theoretical frameworks.</w:t>
            </w:r>
          </w:p>
        </w:tc>
        <w:tc>
          <w:tcPr>
            <w:tcW w:w="929" w:type="pct"/>
            <w:vAlign w:val="center"/>
          </w:tcPr>
          <w:p w14:paraId="54A41460" w14:textId="7B2AC11C" w:rsidR="009A3475" w:rsidRDefault="00C41640" w:rsidP="007C6964">
            <w:pPr>
              <w:rPr>
                <w:rFonts w:ascii="Garamond" w:hAnsi="Garamond"/>
              </w:rPr>
            </w:pPr>
            <w:r>
              <w:rPr>
                <w:rFonts w:ascii="Garamond" w:hAnsi="Garamond"/>
              </w:rPr>
              <w:t>Students were able to present research from selected theoretical framework with very basic critical examination.</w:t>
            </w:r>
          </w:p>
        </w:tc>
        <w:tc>
          <w:tcPr>
            <w:tcW w:w="965" w:type="pct"/>
            <w:vAlign w:val="center"/>
          </w:tcPr>
          <w:p w14:paraId="35AE7B05" w14:textId="34CD2AA9" w:rsidR="009A3475" w:rsidRDefault="00C41640" w:rsidP="007C6964">
            <w:pPr>
              <w:rPr>
                <w:rFonts w:ascii="Garamond" w:hAnsi="Garamond"/>
              </w:rPr>
            </w:pPr>
            <w:r>
              <w:rPr>
                <w:rFonts w:ascii="Garamond" w:hAnsi="Garamond"/>
              </w:rPr>
              <w:t xml:space="preserve">Students were able to present (or write about) </w:t>
            </w:r>
            <w:r w:rsidR="00512E1F">
              <w:rPr>
                <w:rFonts w:ascii="Garamond" w:hAnsi="Garamond"/>
              </w:rPr>
              <w:t>research incorporating a critical examination of methodology, assumptions and interpretations.</w:t>
            </w:r>
          </w:p>
        </w:tc>
        <w:tc>
          <w:tcPr>
            <w:tcW w:w="1481" w:type="pct"/>
            <w:vAlign w:val="center"/>
          </w:tcPr>
          <w:p w14:paraId="2B5FAA27" w14:textId="77777777" w:rsidR="009A3475" w:rsidRDefault="00512E1F" w:rsidP="007C6964">
            <w:pPr>
              <w:rPr>
                <w:rFonts w:ascii="Garamond" w:hAnsi="Garamond"/>
              </w:rPr>
            </w:pPr>
            <w:r>
              <w:rPr>
                <w:rFonts w:ascii="Garamond" w:hAnsi="Garamond"/>
              </w:rPr>
              <w:t>Students could analyze scholarship from a particular framework. Students could pose questions about methodology, suggest improvements, question assumptions and conclusions.</w:t>
            </w:r>
          </w:p>
          <w:p w14:paraId="01B247FC" w14:textId="4925B28C" w:rsidR="00512E1F" w:rsidRDefault="00512E1F" w:rsidP="007C6964">
            <w:pPr>
              <w:rPr>
                <w:rFonts w:ascii="Garamond" w:hAnsi="Garamond"/>
              </w:rPr>
            </w:pPr>
            <w:r>
              <w:rPr>
                <w:rFonts w:ascii="Garamond" w:hAnsi="Garamond"/>
              </w:rPr>
              <w:t>Students could develop research project to address outcome of analysis.</w:t>
            </w:r>
          </w:p>
        </w:tc>
      </w:tr>
      <w:tr w:rsidR="009A3475" w14:paraId="0D512D2A" w14:textId="77777777" w:rsidTr="007C6964">
        <w:tc>
          <w:tcPr>
            <w:tcW w:w="745" w:type="pct"/>
            <w:vAlign w:val="center"/>
          </w:tcPr>
          <w:p w14:paraId="6751E7C4" w14:textId="368F443C" w:rsidR="009A3475" w:rsidRDefault="009A3475" w:rsidP="007C6964">
            <w:pPr>
              <w:rPr>
                <w:rFonts w:ascii="Garamond" w:hAnsi="Garamond"/>
              </w:rPr>
            </w:pPr>
          </w:p>
        </w:tc>
        <w:tc>
          <w:tcPr>
            <w:tcW w:w="880" w:type="pct"/>
            <w:vAlign w:val="center"/>
          </w:tcPr>
          <w:p w14:paraId="4C352C0F" w14:textId="2CF7B95F" w:rsidR="009A3475" w:rsidRDefault="009A3475" w:rsidP="007C6964">
            <w:pPr>
              <w:rPr>
                <w:rFonts w:ascii="Garamond" w:hAnsi="Garamond"/>
              </w:rPr>
            </w:pPr>
          </w:p>
        </w:tc>
        <w:tc>
          <w:tcPr>
            <w:tcW w:w="929" w:type="pct"/>
            <w:vAlign w:val="center"/>
          </w:tcPr>
          <w:p w14:paraId="2EE81DD5" w14:textId="63938239" w:rsidR="009A3475" w:rsidRDefault="009A3475" w:rsidP="007C6964">
            <w:pPr>
              <w:rPr>
                <w:rFonts w:ascii="Garamond" w:hAnsi="Garamond"/>
              </w:rPr>
            </w:pPr>
          </w:p>
        </w:tc>
        <w:tc>
          <w:tcPr>
            <w:tcW w:w="965" w:type="pct"/>
            <w:vAlign w:val="center"/>
          </w:tcPr>
          <w:p w14:paraId="19CD3AD0" w14:textId="6EB652CD" w:rsidR="009A3475" w:rsidRDefault="009A3475" w:rsidP="007C6964">
            <w:pPr>
              <w:rPr>
                <w:rFonts w:ascii="Garamond" w:hAnsi="Garamond"/>
              </w:rPr>
            </w:pPr>
          </w:p>
        </w:tc>
        <w:tc>
          <w:tcPr>
            <w:tcW w:w="1481" w:type="pct"/>
            <w:vAlign w:val="center"/>
          </w:tcPr>
          <w:p w14:paraId="71560D82" w14:textId="6A94EF89" w:rsidR="009A3475" w:rsidRDefault="009A3475" w:rsidP="007C6964">
            <w:pPr>
              <w:rPr>
                <w:rFonts w:ascii="Garamond" w:hAnsi="Garamond"/>
              </w:rPr>
            </w:pPr>
          </w:p>
        </w:tc>
      </w:tr>
    </w:tbl>
    <w:p w14:paraId="7E3E5E53" w14:textId="77777777" w:rsidR="00D565A5" w:rsidRPr="00D565A5" w:rsidRDefault="00D565A5" w:rsidP="00D565A5">
      <w:pPr>
        <w:rPr>
          <w:rFonts w:ascii="Garamond" w:hAnsi="Garamond"/>
        </w:rPr>
      </w:pPr>
    </w:p>
    <w:p w14:paraId="39B58D97" w14:textId="77777777" w:rsidR="005015E2" w:rsidRDefault="005015E2"/>
    <w:sectPr w:rsidR="005015E2" w:rsidSect="006C661C">
      <w:pgSz w:w="15840" w:h="12240" w:orient="landscape"/>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Yu Mincho">
    <w:panose1 w:val="02020400000000000000"/>
    <w:charset w:val="80"/>
    <w:family w:val="roman"/>
    <w:pitch w:val="variable"/>
    <w:sig w:usb0="800002E7" w:usb1="2AC7FCFF" w:usb2="00000012" w:usb3="00000000" w:csb0="0002009F" w:csb1="00000000"/>
  </w:font>
  <w:font w:name="Lucida Grande">
    <w:panose1 w:val="020B0600040502020204"/>
    <w:charset w:val="00"/>
    <w:family w:val="swiss"/>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F377E3"/>
    <w:multiLevelType w:val="hybridMultilevel"/>
    <w:tmpl w:val="0AC21A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5A5"/>
    <w:rsid w:val="00002D76"/>
    <w:rsid w:val="00030D68"/>
    <w:rsid w:val="000979D2"/>
    <w:rsid w:val="000B4665"/>
    <w:rsid w:val="000B65F0"/>
    <w:rsid w:val="000C28A7"/>
    <w:rsid w:val="000E077D"/>
    <w:rsid w:val="000E0B29"/>
    <w:rsid w:val="000E555F"/>
    <w:rsid w:val="00132B8B"/>
    <w:rsid w:val="00136830"/>
    <w:rsid w:val="00165F6D"/>
    <w:rsid w:val="001814F0"/>
    <w:rsid w:val="001960AF"/>
    <w:rsid w:val="001A0626"/>
    <w:rsid w:val="001B2637"/>
    <w:rsid w:val="001D0645"/>
    <w:rsid w:val="001E078B"/>
    <w:rsid w:val="001F3345"/>
    <w:rsid w:val="00211AAA"/>
    <w:rsid w:val="00232B8E"/>
    <w:rsid w:val="00262F6C"/>
    <w:rsid w:val="00277180"/>
    <w:rsid w:val="002929C2"/>
    <w:rsid w:val="002E6998"/>
    <w:rsid w:val="002E6DB8"/>
    <w:rsid w:val="00310ED8"/>
    <w:rsid w:val="00321FAB"/>
    <w:rsid w:val="003905D0"/>
    <w:rsid w:val="003A2200"/>
    <w:rsid w:val="003B3FA6"/>
    <w:rsid w:val="003C7815"/>
    <w:rsid w:val="00426B61"/>
    <w:rsid w:val="00457C2A"/>
    <w:rsid w:val="004B144B"/>
    <w:rsid w:val="004B6891"/>
    <w:rsid w:val="005015E2"/>
    <w:rsid w:val="00512E1F"/>
    <w:rsid w:val="005A2912"/>
    <w:rsid w:val="005A3C6D"/>
    <w:rsid w:val="005D49FD"/>
    <w:rsid w:val="005E1B2B"/>
    <w:rsid w:val="00615C18"/>
    <w:rsid w:val="00620729"/>
    <w:rsid w:val="006B2BDD"/>
    <w:rsid w:val="006C661C"/>
    <w:rsid w:val="006E4CA4"/>
    <w:rsid w:val="00712B32"/>
    <w:rsid w:val="00726EC8"/>
    <w:rsid w:val="0077578A"/>
    <w:rsid w:val="00791202"/>
    <w:rsid w:val="007C6964"/>
    <w:rsid w:val="007F6452"/>
    <w:rsid w:val="008230AF"/>
    <w:rsid w:val="00836DFC"/>
    <w:rsid w:val="00862CEC"/>
    <w:rsid w:val="00866D18"/>
    <w:rsid w:val="008763CC"/>
    <w:rsid w:val="008D50A8"/>
    <w:rsid w:val="009118B4"/>
    <w:rsid w:val="00914F7F"/>
    <w:rsid w:val="0098089E"/>
    <w:rsid w:val="009A0CFA"/>
    <w:rsid w:val="009A3475"/>
    <w:rsid w:val="00A601CE"/>
    <w:rsid w:val="00AD54F5"/>
    <w:rsid w:val="00B14DA4"/>
    <w:rsid w:val="00B22B52"/>
    <w:rsid w:val="00BB57FF"/>
    <w:rsid w:val="00BC1C41"/>
    <w:rsid w:val="00BC3341"/>
    <w:rsid w:val="00BD42D1"/>
    <w:rsid w:val="00BF444F"/>
    <w:rsid w:val="00C0571A"/>
    <w:rsid w:val="00C12D5D"/>
    <w:rsid w:val="00C30321"/>
    <w:rsid w:val="00C3344A"/>
    <w:rsid w:val="00C41640"/>
    <w:rsid w:val="00C4169B"/>
    <w:rsid w:val="00C66D3E"/>
    <w:rsid w:val="00C67D47"/>
    <w:rsid w:val="00CB48CA"/>
    <w:rsid w:val="00D0004C"/>
    <w:rsid w:val="00D16638"/>
    <w:rsid w:val="00D369FE"/>
    <w:rsid w:val="00D560F8"/>
    <w:rsid w:val="00D565A5"/>
    <w:rsid w:val="00D75740"/>
    <w:rsid w:val="00D96097"/>
    <w:rsid w:val="00DA405B"/>
    <w:rsid w:val="00DB52F7"/>
    <w:rsid w:val="00E73D20"/>
    <w:rsid w:val="00E81864"/>
    <w:rsid w:val="00E855A2"/>
    <w:rsid w:val="00EB2486"/>
    <w:rsid w:val="00EC0F71"/>
    <w:rsid w:val="00EC313B"/>
    <w:rsid w:val="00EE55E5"/>
    <w:rsid w:val="00EE7EF5"/>
    <w:rsid w:val="00F0085C"/>
    <w:rsid w:val="00FC4D80"/>
    <w:rsid w:val="00FD1F54"/>
    <w:rsid w:val="00FE4437"/>
    <w:rsid w:val="00FF1F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2523DB"/>
  <w14:defaultImageDpi w14:val="32767"/>
  <w15:docId w15:val="{E94C0E1A-BA6E-1C4C-A0CB-65B103076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65A5"/>
    <w:pPr>
      <w:spacing w:after="160" w:line="259" w:lineRule="auto"/>
      <w:ind w:left="720"/>
      <w:contextualSpacing/>
    </w:pPr>
    <w:rPr>
      <w:sz w:val="22"/>
      <w:szCs w:val="22"/>
    </w:rPr>
  </w:style>
  <w:style w:type="table" w:styleId="TableGrid">
    <w:name w:val="Table Grid"/>
    <w:basedOn w:val="TableNormal"/>
    <w:uiPriority w:val="39"/>
    <w:rsid w:val="00D565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15E2"/>
    <w:rPr>
      <w:rFonts w:ascii="Lucida Grande" w:hAnsi="Lucida Grande"/>
      <w:sz w:val="18"/>
      <w:szCs w:val="18"/>
    </w:rPr>
  </w:style>
  <w:style w:type="character" w:customStyle="1" w:styleId="BalloonTextChar">
    <w:name w:val="Balloon Text Char"/>
    <w:basedOn w:val="DefaultParagraphFont"/>
    <w:link w:val="BalloonText"/>
    <w:uiPriority w:val="99"/>
    <w:semiHidden/>
    <w:rsid w:val="005015E2"/>
    <w:rPr>
      <w:rFonts w:ascii="Lucida Grande" w:eastAsiaTheme="minorEastAsia"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5176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E5C996AE-2FAB-5A42-B99D-9AA768E00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428</Words>
  <Characters>2443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Randye</cp:lastModifiedBy>
  <cp:revision>3</cp:revision>
  <dcterms:created xsi:type="dcterms:W3CDTF">2026-02-04T20:45:00Z</dcterms:created>
  <dcterms:modified xsi:type="dcterms:W3CDTF">2026-02-05T15:15:00Z</dcterms:modified>
</cp:coreProperties>
</file>