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30FCF" w14:textId="77777777" w:rsidR="004B6184" w:rsidRDefault="00B46467">
      <w:pPr>
        <w:rPr>
          <w:rFonts w:ascii="Garamond" w:eastAsia="Garamond" w:hAnsi="Garamond" w:cs="Garamond"/>
          <w:b/>
        </w:rPr>
      </w:pPr>
      <w:r>
        <w:rPr>
          <w:rFonts w:ascii="Garamond" w:eastAsia="Garamond" w:hAnsi="Garamond" w:cs="Garamond"/>
          <w:b/>
        </w:rPr>
        <w:t>Program Level Learning Outcome Assessment</w:t>
      </w:r>
    </w:p>
    <w:p w14:paraId="0A522BC1" w14:textId="6960DF33" w:rsidR="004B6184" w:rsidRDefault="00B46467">
      <w:pPr>
        <w:tabs>
          <w:tab w:val="right" w:pos="14400"/>
        </w:tabs>
        <w:rPr>
          <w:rFonts w:ascii="Garamond" w:eastAsia="Garamond" w:hAnsi="Garamond" w:cs="Garamond"/>
          <w:b/>
        </w:rPr>
      </w:pPr>
      <w:r>
        <w:rPr>
          <w:rFonts w:ascii="Garamond" w:eastAsia="Garamond" w:hAnsi="Garamond" w:cs="Garamond"/>
          <w:b/>
        </w:rPr>
        <w:t xml:space="preserve">Department of Geography and Environmental Science – </w:t>
      </w:r>
      <w:r w:rsidR="00CB32A0">
        <w:rPr>
          <w:rFonts w:ascii="Garamond" w:eastAsia="Garamond" w:hAnsi="Garamond" w:cs="Garamond"/>
          <w:b/>
        </w:rPr>
        <w:t>ES BA</w:t>
      </w:r>
      <w:bookmarkStart w:id="0" w:name="_GoBack"/>
      <w:bookmarkEnd w:id="0"/>
    </w:p>
    <w:p w14:paraId="0D653D65" w14:textId="6BA6388B" w:rsidR="004B6184" w:rsidRDefault="00B46467">
      <w:pPr>
        <w:rPr>
          <w:rFonts w:ascii="Garamond" w:eastAsia="Garamond" w:hAnsi="Garamond" w:cs="Garamond"/>
          <w:b/>
        </w:rPr>
      </w:pPr>
      <w:r>
        <w:rPr>
          <w:rFonts w:ascii="Garamond" w:eastAsia="Garamond" w:hAnsi="Garamond" w:cs="Garamond"/>
          <w:b/>
        </w:rPr>
        <w:t>PLO</w:t>
      </w:r>
      <w:r w:rsidR="00CB32A0">
        <w:rPr>
          <w:rFonts w:ascii="Garamond" w:eastAsia="Garamond" w:hAnsi="Garamond" w:cs="Garamond"/>
          <w:b/>
        </w:rPr>
        <w:t>5</w:t>
      </w:r>
      <w:r>
        <w:rPr>
          <w:rFonts w:ascii="Garamond" w:eastAsia="Garamond" w:hAnsi="Garamond" w:cs="Garamond"/>
          <w:b/>
        </w:rPr>
        <w:t xml:space="preserve">: </w:t>
      </w:r>
      <w:r>
        <w:rPr>
          <w:rFonts w:ascii="Garamond" w:eastAsia="Garamond" w:hAnsi="Garamond" w:cs="Garamond"/>
          <w:color w:val="000000"/>
        </w:rPr>
        <w:t>Students will build knowledge about the environmental dimensions of systemic racism and other types of oppression such as those based on gender or religious identity. Students will be able to apply scientific evidence and theories that explain environmental injustices and use environmental knowledge and skills to advance just and sustainable societies</w:t>
      </w:r>
    </w:p>
    <w:p w14:paraId="7FF0FA98" w14:textId="77777777" w:rsidR="004B6184" w:rsidRDefault="004B6184">
      <w:pPr>
        <w:rPr>
          <w:rFonts w:ascii="Garamond" w:eastAsia="Garamond" w:hAnsi="Garamond" w:cs="Garamond"/>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2279"/>
        <w:gridCol w:w="2406"/>
        <w:gridCol w:w="2499"/>
        <w:gridCol w:w="3836"/>
      </w:tblGrid>
      <w:tr w:rsidR="004B6184" w14:paraId="01B4F165" w14:textId="77777777">
        <w:tc>
          <w:tcPr>
            <w:tcW w:w="1930" w:type="dxa"/>
            <w:vAlign w:val="center"/>
          </w:tcPr>
          <w:p w14:paraId="5ACA8E2E" w14:textId="77777777" w:rsidR="004B6184" w:rsidRDefault="00B46467">
            <w:pPr>
              <w:rPr>
                <w:rFonts w:ascii="Garamond" w:eastAsia="Garamond" w:hAnsi="Garamond" w:cs="Garamond"/>
                <w:b/>
              </w:rPr>
            </w:pPr>
            <w:r>
              <w:rPr>
                <w:rFonts w:ascii="Garamond" w:eastAsia="Garamond" w:hAnsi="Garamond" w:cs="Garamond"/>
                <w:b/>
              </w:rPr>
              <w:t>Learning Outcome Criteria</w:t>
            </w:r>
          </w:p>
        </w:tc>
        <w:tc>
          <w:tcPr>
            <w:tcW w:w="2279" w:type="dxa"/>
            <w:vAlign w:val="center"/>
          </w:tcPr>
          <w:p w14:paraId="27BD6962" w14:textId="77777777" w:rsidR="004B6184" w:rsidRDefault="00B46467">
            <w:pPr>
              <w:rPr>
                <w:rFonts w:ascii="Garamond" w:eastAsia="Garamond" w:hAnsi="Garamond" w:cs="Garamond"/>
                <w:b/>
              </w:rPr>
            </w:pPr>
            <w:r>
              <w:rPr>
                <w:rFonts w:ascii="Garamond" w:eastAsia="Garamond" w:hAnsi="Garamond" w:cs="Garamond"/>
                <w:b/>
              </w:rPr>
              <w:t>Does Not Meet Expectations</w:t>
            </w:r>
          </w:p>
        </w:tc>
        <w:tc>
          <w:tcPr>
            <w:tcW w:w="2406" w:type="dxa"/>
            <w:vAlign w:val="center"/>
          </w:tcPr>
          <w:p w14:paraId="288092F2" w14:textId="77777777" w:rsidR="004B6184" w:rsidRDefault="00B46467">
            <w:pPr>
              <w:rPr>
                <w:rFonts w:ascii="Garamond" w:eastAsia="Garamond" w:hAnsi="Garamond" w:cs="Garamond"/>
                <w:b/>
              </w:rPr>
            </w:pPr>
            <w:r>
              <w:rPr>
                <w:rFonts w:ascii="Garamond" w:eastAsia="Garamond" w:hAnsi="Garamond" w:cs="Garamond"/>
                <w:b/>
              </w:rPr>
              <w:t>Approaches Expectations</w:t>
            </w:r>
          </w:p>
        </w:tc>
        <w:tc>
          <w:tcPr>
            <w:tcW w:w="2499" w:type="dxa"/>
            <w:vAlign w:val="center"/>
          </w:tcPr>
          <w:p w14:paraId="6792062F" w14:textId="77777777" w:rsidR="004B6184" w:rsidRDefault="00B46467">
            <w:pPr>
              <w:rPr>
                <w:rFonts w:ascii="Garamond" w:eastAsia="Garamond" w:hAnsi="Garamond" w:cs="Garamond"/>
                <w:b/>
              </w:rPr>
            </w:pPr>
            <w:r>
              <w:rPr>
                <w:rFonts w:ascii="Garamond" w:eastAsia="Garamond" w:hAnsi="Garamond" w:cs="Garamond"/>
                <w:b/>
              </w:rPr>
              <w:t>Meet Expectations</w:t>
            </w:r>
          </w:p>
        </w:tc>
        <w:tc>
          <w:tcPr>
            <w:tcW w:w="3836" w:type="dxa"/>
            <w:vAlign w:val="center"/>
          </w:tcPr>
          <w:p w14:paraId="680422B9" w14:textId="77777777" w:rsidR="004B6184" w:rsidRDefault="00B46467">
            <w:pPr>
              <w:rPr>
                <w:rFonts w:ascii="Garamond" w:eastAsia="Garamond" w:hAnsi="Garamond" w:cs="Garamond"/>
                <w:b/>
              </w:rPr>
            </w:pPr>
            <w:r>
              <w:rPr>
                <w:rFonts w:ascii="Garamond" w:eastAsia="Garamond" w:hAnsi="Garamond" w:cs="Garamond"/>
                <w:b/>
              </w:rPr>
              <w:t>Exceeds Expectations</w:t>
            </w:r>
          </w:p>
        </w:tc>
      </w:tr>
      <w:tr w:rsidR="004B6184" w14:paraId="658BA5A0" w14:textId="77777777">
        <w:tc>
          <w:tcPr>
            <w:tcW w:w="1930" w:type="dxa"/>
            <w:vAlign w:val="center"/>
          </w:tcPr>
          <w:p w14:paraId="159D6F89" w14:textId="47042416" w:rsidR="004B6184" w:rsidRDefault="00B46467">
            <w:pPr>
              <w:rPr>
                <w:rFonts w:ascii="Garamond" w:eastAsia="Garamond" w:hAnsi="Garamond" w:cs="Garamond"/>
              </w:rPr>
            </w:pPr>
            <w:r>
              <w:rPr>
                <w:rFonts w:ascii="Garamond" w:eastAsia="Garamond" w:hAnsi="Garamond" w:cs="Garamond"/>
              </w:rPr>
              <w:t>Define relevant concepts, i.e. prejudice, discrimination, racism, systemic racism.</w:t>
            </w:r>
          </w:p>
        </w:tc>
        <w:tc>
          <w:tcPr>
            <w:tcW w:w="2279" w:type="dxa"/>
            <w:vAlign w:val="center"/>
          </w:tcPr>
          <w:p w14:paraId="53CC84F5" w14:textId="77777777" w:rsidR="004B6184" w:rsidRDefault="00B46467">
            <w:pPr>
              <w:rPr>
                <w:rFonts w:ascii="Garamond" w:eastAsia="Garamond" w:hAnsi="Garamond" w:cs="Garamond"/>
              </w:rPr>
            </w:pPr>
            <w:r>
              <w:rPr>
                <w:rFonts w:ascii="Garamond" w:eastAsia="Garamond" w:hAnsi="Garamond" w:cs="Garamond"/>
              </w:rPr>
              <w:t>Little or no understanding of these concepts.</w:t>
            </w:r>
          </w:p>
        </w:tc>
        <w:tc>
          <w:tcPr>
            <w:tcW w:w="2406" w:type="dxa"/>
            <w:vAlign w:val="center"/>
          </w:tcPr>
          <w:p w14:paraId="68157F99" w14:textId="77777777" w:rsidR="004B6184" w:rsidRDefault="00B46467">
            <w:pPr>
              <w:rPr>
                <w:rFonts w:ascii="Garamond" w:eastAsia="Garamond" w:hAnsi="Garamond" w:cs="Garamond"/>
              </w:rPr>
            </w:pPr>
            <w:r>
              <w:rPr>
                <w:rFonts w:ascii="Garamond" w:eastAsia="Garamond" w:hAnsi="Garamond" w:cs="Garamond"/>
              </w:rPr>
              <w:t>Lists the fundamental vocabulary. Limited understanding of concepts.</w:t>
            </w:r>
          </w:p>
        </w:tc>
        <w:tc>
          <w:tcPr>
            <w:tcW w:w="2499" w:type="dxa"/>
            <w:vAlign w:val="center"/>
          </w:tcPr>
          <w:p w14:paraId="1BCCED32" w14:textId="77777777" w:rsidR="004B6184" w:rsidRDefault="00B46467">
            <w:pPr>
              <w:rPr>
                <w:rFonts w:ascii="Garamond" w:eastAsia="Garamond" w:hAnsi="Garamond" w:cs="Garamond"/>
              </w:rPr>
            </w:pPr>
            <w:r>
              <w:rPr>
                <w:rFonts w:ascii="Garamond" w:eastAsia="Garamond" w:hAnsi="Garamond" w:cs="Garamond"/>
              </w:rPr>
              <w:t>Understands terms and articulates relationships to one another.</w:t>
            </w:r>
          </w:p>
        </w:tc>
        <w:tc>
          <w:tcPr>
            <w:tcW w:w="3836" w:type="dxa"/>
            <w:vAlign w:val="center"/>
          </w:tcPr>
          <w:p w14:paraId="1FB45E20" w14:textId="77777777" w:rsidR="004B6184" w:rsidRDefault="00B46467">
            <w:pPr>
              <w:rPr>
                <w:rFonts w:ascii="Garamond" w:eastAsia="Garamond" w:hAnsi="Garamond" w:cs="Garamond"/>
              </w:rPr>
            </w:pPr>
            <w:r>
              <w:rPr>
                <w:rFonts w:ascii="Garamond" w:eastAsia="Garamond" w:hAnsi="Garamond" w:cs="Garamond"/>
              </w:rPr>
              <w:t>Advanced understanding of the key concepts, their interplay and how they relate to the marginalization of groups and environmental racism.</w:t>
            </w:r>
          </w:p>
        </w:tc>
      </w:tr>
      <w:tr w:rsidR="004B6184" w14:paraId="68AE88DD" w14:textId="77777777">
        <w:tc>
          <w:tcPr>
            <w:tcW w:w="1930" w:type="dxa"/>
            <w:vAlign w:val="center"/>
          </w:tcPr>
          <w:p w14:paraId="395DC736" w14:textId="475BCFBC" w:rsidR="004B6184" w:rsidRDefault="00B46467">
            <w:pPr>
              <w:rPr>
                <w:rFonts w:ascii="Garamond" w:eastAsia="Garamond" w:hAnsi="Garamond" w:cs="Garamond"/>
              </w:rPr>
            </w:pPr>
            <w:r>
              <w:rPr>
                <w:rFonts w:ascii="Garamond" w:eastAsia="Garamond" w:hAnsi="Garamond" w:cs="Garamond"/>
              </w:rPr>
              <w:t>Identify marginalized groups.</w:t>
            </w:r>
          </w:p>
        </w:tc>
        <w:tc>
          <w:tcPr>
            <w:tcW w:w="2279" w:type="dxa"/>
            <w:vAlign w:val="center"/>
          </w:tcPr>
          <w:p w14:paraId="5DB04585" w14:textId="77777777" w:rsidR="004B6184" w:rsidRDefault="00B46467">
            <w:pPr>
              <w:rPr>
                <w:rFonts w:ascii="Garamond" w:eastAsia="Garamond" w:hAnsi="Garamond" w:cs="Garamond"/>
              </w:rPr>
            </w:pPr>
            <w:r>
              <w:rPr>
                <w:rFonts w:ascii="Garamond" w:eastAsia="Garamond" w:hAnsi="Garamond" w:cs="Garamond"/>
              </w:rPr>
              <w:t>Little or no recognition of marginalized groups.</w:t>
            </w:r>
          </w:p>
        </w:tc>
        <w:tc>
          <w:tcPr>
            <w:tcW w:w="2406" w:type="dxa"/>
            <w:vAlign w:val="center"/>
          </w:tcPr>
          <w:p w14:paraId="4E67F687" w14:textId="77777777" w:rsidR="004B6184" w:rsidRDefault="00B46467">
            <w:pPr>
              <w:rPr>
                <w:rFonts w:ascii="Garamond" w:eastAsia="Garamond" w:hAnsi="Garamond" w:cs="Garamond"/>
              </w:rPr>
            </w:pPr>
            <w:r>
              <w:rPr>
                <w:rFonts w:ascii="Garamond" w:eastAsia="Garamond" w:hAnsi="Garamond" w:cs="Garamond"/>
              </w:rPr>
              <w:t>Identifies some of the wide range of marginalized groups.</w:t>
            </w:r>
          </w:p>
        </w:tc>
        <w:tc>
          <w:tcPr>
            <w:tcW w:w="2499" w:type="dxa"/>
            <w:vAlign w:val="center"/>
          </w:tcPr>
          <w:p w14:paraId="05697283" w14:textId="77777777" w:rsidR="004B6184" w:rsidRDefault="00B46467">
            <w:pPr>
              <w:rPr>
                <w:rFonts w:ascii="Garamond" w:eastAsia="Garamond" w:hAnsi="Garamond" w:cs="Garamond"/>
              </w:rPr>
            </w:pPr>
            <w:r>
              <w:rPr>
                <w:rFonts w:ascii="Garamond" w:eastAsia="Garamond" w:hAnsi="Garamond" w:cs="Garamond"/>
              </w:rPr>
              <w:t>Identifies a wide range of marginalized groups. Articulates criteria to determine marginalization.</w:t>
            </w:r>
          </w:p>
        </w:tc>
        <w:tc>
          <w:tcPr>
            <w:tcW w:w="3836" w:type="dxa"/>
            <w:vAlign w:val="center"/>
          </w:tcPr>
          <w:p w14:paraId="395ABA6C" w14:textId="77777777" w:rsidR="004B6184" w:rsidRDefault="00B46467">
            <w:pPr>
              <w:rPr>
                <w:rFonts w:ascii="Garamond" w:eastAsia="Garamond" w:hAnsi="Garamond" w:cs="Garamond"/>
              </w:rPr>
            </w:pPr>
            <w:r>
              <w:rPr>
                <w:rFonts w:ascii="Garamond" w:eastAsia="Garamond" w:hAnsi="Garamond" w:cs="Garamond"/>
              </w:rPr>
              <w:t>Sophisticated understanding and application of criteria to define a marginalized group.</w:t>
            </w:r>
          </w:p>
        </w:tc>
      </w:tr>
      <w:tr w:rsidR="004B6184" w14:paraId="230C3792" w14:textId="77777777">
        <w:tc>
          <w:tcPr>
            <w:tcW w:w="1930" w:type="dxa"/>
            <w:vAlign w:val="center"/>
          </w:tcPr>
          <w:p w14:paraId="0AC57901" w14:textId="48CCBC87" w:rsidR="004B6184" w:rsidRDefault="00B46467">
            <w:pPr>
              <w:rPr>
                <w:rFonts w:ascii="Garamond" w:eastAsia="Garamond" w:hAnsi="Garamond" w:cs="Garamond"/>
              </w:rPr>
            </w:pPr>
            <w:r>
              <w:rPr>
                <w:rFonts w:ascii="Garamond" w:eastAsia="Garamond" w:hAnsi="Garamond" w:cs="Garamond"/>
              </w:rPr>
              <w:t>Discuss</w:t>
            </w:r>
            <w:r w:rsidR="006B1E4A">
              <w:rPr>
                <w:rFonts w:ascii="Garamond" w:eastAsia="Garamond" w:hAnsi="Garamond" w:cs="Garamond"/>
              </w:rPr>
              <w:t xml:space="preserve"> m</w:t>
            </w:r>
            <w:r>
              <w:rPr>
                <w:rFonts w:ascii="Garamond" w:eastAsia="Garamond" w:hAnsi="Garamond" w:cs="Garamond"/>
              </w:rPr>
              <w:t>arginalization of minorities in the modern academy and the historical narrative of the discipline</w:t>
            </w:r>
          </w:p>
        </w:tc>
        <w:tc>
          <w:tcPr>
            <w:tcW w:w="2279" w:type="dxa"/>
            <w:vAlign w:val="center"/>
          </w:tcPr>
          <w:p w14:paraId="54BFD25C" w14:textId="77777777" w:rsidR="004B6184" w:rsidRDefault="00B46467">
            <w:pPr>
              <w:rPr>
                <w:rFonts w:ascii="Garamond" w:eastAsia="Garamond" w:hAnsi="Garamond" w:cs="Garamond"/>
              </w:rPr>
            </w:pPr>
            <w:r>
              <w:rPr>
                <w:rFonts w:ascii="Garamond" w:eastAsia="Garamond" w:hAnsi="Garamond" w:cs="Garamond"/>
              </w:rPr>
              <w:t>Does not recognize that marginalization is a systemic problem.</w:t>
            </w:r>
          </w:p>
        </w:tc>
        <w:tc>
          <w:tcPr>
            <w:tcW w:w="2406" w:type="dxa"/>
            <w:vAlign w:val="center"/>
          </w:tcPr>
          <w:p w14:paraId="5DF5F9B3" w14:textId="77777777" w:rsidR="004B6184" w:rsidRDefault="00B46467">
            <w:pPr>
              <w:rPr>
                <w:rFonts w:ascii="Garamond" w:eastAsia="Garamond" w:hAnsi="Garamond" w:cs="Garamond"/>
              </w:rPr>
            </w:pPr>
            <w:r>
              <w:rPr>
                <w:rFonts w:ascii="Garamond" w:eastAsia="Garamond" w:hAnsi="Garamond" w:cs="Garamond"/>
              </w:rPr>
              <w:t xml:space="preserve">Limited recognition of the impact of racism in the academy and discipline. </w:t>
            </w:r>
          </w:p>
        </w:tc>
        <w:tc>
          <w:tcPr>
            <w:tcW w:w="2499" w:type="dxa"/>
            <w:vAlign w:val="center"/>
          </w:tcPr>
          <w:p w14:paraId="40791F8B" w14:textId="77777777" w:rsidR="004B6184" w:rsidRDefault="00B46467">
            <w:pPr>
              <w:rPr>
                <w:rFonts w:ascii="Garamond" w:eastAsia="Garamond" w:hAnsi="Garamond" w:cs="Garamond"/>
              </w:rPr>
            </w:pPr>
            <w:r>
              <w:rPr>
                <w:rFonts w:ascii="Garamond" w:eastAsia="Garamond" w:hAnsi="Garamond" w:cs="Garamond"/>
              </w:rPr>
              <w:t>Attributes marginalization in the academy and discipline to a complex interplay of prejudice, discrimination, systemic racism.</w:t>
            </w:r>
          </w:p>
        </w:tc>
        <w:tc>
          <w:tcPr>
            <w:tcW w:w="3836" w:type="dxa"/>
            <w:vAlign w:val="center"/>
          </w:tcPr>
          <w:p w14:paraId="01BBF755" w14:textId="77777777" w:rsidR="004B6184" w:rsidRDefault="00B46467">
            <w:pPr>
              <w:rPr>
                <w:rFonts w:ascii="Garamond" w:eastAsia="Garamond" w:hAnsi="Garamond" w:cs="Garamond"/>
              </w:rPr>
            </w:pPr>
            <w:r>
              <w:rPr>
                <w:rFonts w:ascii="Garamond" w:eastAsia="Garamond" w:hAnsi="Garamond" w:cs="Garamond"/>
              </w:rPr>
              <w:t>Advanced examination of the patterns of the different patterns of representation and participation in the academy and discipline.  Nuanced understanding of the variety of contributing factors.</w:t>
            </w:r>
          </w:p>
        </w:tc>
      </w:tr>
      <w:tr w:rsidR="004B6184" w14:paraId="569CD397" w14:textId="77777777">
        <w:tc>
          <w:tcPr>
            <w:tcW w:w="1930" w:type="dxa"/>
            <w:vAlign w:val="center"/>
          </w:tcPr>
          <w:p w14:paraId="26BC9EA8" w14:textId="36F30E73" w:rsidR="004B6184" w:rsidRDefault="00B46467">
            <w:pPr>
              <w:rPr>
                <w:rFonts w:ascii="Garamond" w:eastAsia="Garamond" w:hAnsi="Garamond" w:cs="Garamond"/>
              </w:rPr>
            </w:pPr>
            <w:r>
              <w:rPr>
                <w:rFonts w:ascii="Garamond" w:eastAsia="Garamond" w:hAnsi="Garamond" w:cs="Garamond"/>
              </w:rPr>
              <w:t>Demonstrate patterns and consequences of environmental injustice</w:t>
            </w:r>
          </w:p>
        </w:tc>
        <w:tc>
          <w:tcPr>
            <w:tcW w:w="2279" w:type="dxa"/>
            <w:vAlign w:val="center"/>
          </w:tcPr>
          <w:p w14:paraId="2D1F4981" w14:textId="77777777" w:rsidR="004B6184" w:rsidRDefault="00B46467">
            <w:pPr>
              <w:rPr>
                <w:rFonts w:ascii="Garamond" w:eastAsia="Garamond" w:hAnsi="Garamond" w:cs="Garamond"/>
              </w:rPr>
            </w:pPr>
            <w:r>
              <w:rPr>
                <w:rFonts w:ascii="Garamond" w:eastAsia="Garamond" w:hAnsi="Garamond" w:cs="Garamond"/>
              </w:rPr>
              <w:t>Does not recognize patterns of environmental injustice.</w:t>
            </w:r>
          </w:p>
        </w:tc>
        <w:tc>
          <w:tcPr>
            <w:tcW w:w="2406" w:type="dxa"/>
            <w:vAlign w:val="center"/>
          </w:tcPr>
          <w:p w14:paraId="2453B5BA" w14:textId="77777777" w:rsidR="004B6184" w:rsidRDefault="00B46467">
            <w:pPr>
              <w:rPr>
                <w:rFonts w:ascii="Garamond" w:eastAsia="Garamond" w:hAnsi="Garamond" w:cs="Garamond"/>
              </w:rPr>
            </w:pPr>
            <w:r>
              <w:rPr>
                <w:rFonts w:ascii="Garamond" w:eastAsia="Garamond" w:hAnsi="Garamond" w:cs="Garamond"/>
              </w:rPr>
              <w:t>Simplistic understanding of how marginalized groups are impacted by environmental injustice.</w:t>
            </w:r>
          </w:p>
        </w:tc>
        <w:tc>
          <w:tcPr>
            <w:tcW w:w="2499" w:type="dxa"/>
            <w:vAlign w:val="center"/>
          </w:tcPr>
          <w:p w14:paraId="3A6F6E92" w14:textId="77777777" w:rsidR="004B6184" w:rsidRDefault="00B46467">
            <w:pPr>
              <w:rPr>
                <w:rFonts w:ascii="Garamond" w:eastAsia="Garamond" w:hAnsi="Garamond" w:cs="Garamond"/>
              </w:rPr>
            </w:pPr>
            <w:r>
              <w:rPr>
                <w:rFonts w:ascii="Garamond" w:eastAsia="Garamond" w:hAnsi="Garamond" w:cs="Garamond"/>
              </w:rPr>
              <w:t>Illustrate patterns of environmental injustice and consequences for marginalized groups.</w:t>
            </w:r>
          </w:p>
        </w:tc>
        <w:tc>
          <w:tcPr>
            <w:tcW w:w="3836" w:type="dxa"/>
            <w:vAlign w:val="center"/>
          </w:tcPr>
          <w:p w14:paraId="5FF1B440" w14:textId="77777777" w:rsidR="004B6184" w:rsidRDefault="00B46467">
            <w:pPr>
              <w:rPr>
                <w:rFonts w:ascii="Garamond" w:eastAsia="Garamond" w:hAnsi="Garamond" w:cs="Garamond"/>
              </w:rPr>
            </w:pPr>
            <w:r>
              <w:rPr>
                <w:rFonts w:ascii="Garamond" w:eastAsia="Garamond" w:hAnsi="Garamond" w:cs="Garamond"/>
              </w:rPr>
              <w:t>Analyze data to demonstrate patterns and consequences of environmental injustice. Recognizes feedbacks between environmental justice, health, education, life span, socio-economic status.</w:t>
            </w:r>
          </w:p>
        </w:tc>
      </w:tr>
      <w:tr w:rsidR="004B6184" w14:paraId="799A9B67" w14:textId="77777777">
        <w:tc>
          <w:tcPr>
            <w:tcW w:w="1930" w:type="dxa"/>
            <w:vAlign w:val="center"/>
          </w:tcPr>
          <w:p w14:paraId="596E279D" w14:textId="5BBA94D5" w:rsidR="004B6184" w:rsidRDefault="00B46467">
            <w:pPr>
              <w:rPr>
                <w:rFonts w:ascii="Garamond" w:eastAsia="Garamond" w:hAnsi="Garamond" w:cs="Garamond"/>
              </w:rPr>
            </w:pPr>
            <w:r>
              <w:rPr>
                <w:rFonts w:ascii="Garamond" w:eastAsia="Garamond" w:hAnsi="Garamond" w:cs="Garamond"/>
              </w:rPr>
              <w:t>Propose policy solutions to uncover and eliminate environmental racism.</w:t>
            </w:r>
          </w:p>
        </w:tc>
        <w:tc>
          <w:tcPr>
            <w:tcW w:w="2279" w:type="dxa"/>
            <w:vAlign w:val="center"/>
          </w:tcPr>
          <w:p w14:paraId="71F2911E" w14:textId="77777777" w:rsidR="004B6184" w:rsidRDefault="00B46467">
            <w:pPr>
              <w:rPr>
                <w:rFonts w:ascii="Garamond" w:eastAsia="Garamond" w:hAnsi="Garamond" w:cs="Garamond"/>
              </w:rPr>
            </w:pPr>
            <w:r>
              <w:rPr>
                <w:rFonts w:ascii="Garamond" w:eastAsia="Garamond" w:hAnsi="Garamond" w:cs="Garamond"/>
              </w:rPr>
              <w:t>Unable to propose policy solutions to recognize and address environmental racism.</w:t>
            </w:r>
          </w:p>
        </w:tc>
        <w:tc>
          <w:tcPr>
            <w:tcW w:w="2406" w:type="dxa"/>
            <w:vAlign w:val="center"/>
          </w:tcPr>
          <w:p w14:paraId="01B61900" w14:textId="77777777" w:rsidR="004B6184" w:rsidRDefault="00B46467">
            <w:pPr>
              <w:rPr>
                <w:rFonts w:ascii="Garamond" w:eastAsia="Garamond" w:hAnsi="Garamond" w:cs="Garamond"/>
              </w:rPr>
            </w:pPr>
            <w:r>
              <w:rPr>
                <w:rFonts w:ascii="Garamond" w:eastAsia="Garamond" w:hAnsi="Garamond" w:cs="Garamond"/>
              </w:rPr>
              <w:t>Simplistic or partial recognition of environmental racism and its solutions.</w:t>
            </w:r>
          </w:p>
        </w:tc>
        <w:tc>
          <w:tcPr>
            <w:tcW w:w="2499" w:type="dxa"/>
            <w:vAlign w:val="center"/>
          </w:tcPr>
          <w:p w14:paraId="41E9B418" w14:textId="77777777" w:rsidR="004B6184" w:rsidRDefault="00B46467">
            <w:pPr>
              <w:rPr>
                <w:rFonts w:ascii="Garamond" w:eastAsia="Garamond" w:hAnsi="Garamond" w:cs="Garamond"/>
              </w:rPr>
            </w:pPr>
            <w:r>
              <w:rPr>
                <w:rFonts w:ascii="Garamond" w:eastAsia="Garamond" w:hAnsi="Garamond" w:cs="Garamond"/>
              </w:rPr>
              <w:t>Survey existing methods of identifying environmental racism and proposed policy solutions.</w:t>
            </w:r>
          </w:p>
        </w:tc>
        <w:tc>
          <w:tcPr>
            <w:tcW w:w="3836" w:type="dxa"/>
            <w:vAlign w:val="center"/>
          </w:tcPr>
          <w:p w14:paraId="3DAEE52C" w14:textId="77777777" w:rsidR="004B6184" w:rsidRDefault="00B46467">
            <w:pPr>
              <w:rPr>
                <w:rFonts w:ascii="Garamond" w:eastAsia="Garamond" w:hAnsi="Garamond" w:cs="Garamond"/>
              </w:rPr>
            </w:pPr>
            <w:r>
              <w:rPr>
                <w:rFonts w:ascii="Garamond" w:eastAsia="Garamond" w:hAnsi="Garamond" w:cs="Garamond"/>
              </w:rPr>
              <w:t>Explore and develop a variety of policy solutions situated in geographic contexts and designed to uncover and/or address environmental racism.</w:t>
            </w:r>
          </w:p>
        </w:tc>
      </w:tr>
    </w:tbl>
    <w:p w14:paraId="3B48B721" w14:textId="77777777" w:rsidR="004B6184" w:rsidRDefault="004B6184"/>
    <w:sectPr w:rsidR="004B6184">
      <w:pgSz w:w="15840" w:h="122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84"/>
    <w:rsid w:val="00141EA4"/>
    <w:rsid w:val="004B6184"/>
    <w:rsid w:val="006B1E4A"/>
    <w:rsid w:val="00B46467"/>
    <w:rsid w:val="00CB32A0"/>
    <w:rsid w:val="00E2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01D84"/>
  <w15:docId w15:val="{290F35CC-D3A3-9148-8F0F-11FDFAE1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7YLdl16TYcF6SmUR4W9GCdj5cA==">AMUW2mWMYKPLUhdK8fUm/7dabdLe7MVpCWEUTJUnmieUvUc7A7o6bLmv68r9TRFDZswpbToWzSDfNT53E2+q2ROsOY4OLJMUmmSZnm4FdAR4uuJ0RDA37Os=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Randye</cp:lastModifiedBy>
  <cp:revision>2</cp:revision>
  <dcterms:created xsi:type="dcterms:W3CDTF">2026-02-05T15:34:00Z</dcterms:created>
  <dcterms:modified xsi:type="dcterms:W3CDTF">2026-02-05T15:34:00Z</dcterms:modified>
</cp:coreProperties>
</file>