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r w:rsidRPr="006C661C">
        <w:rPr>
          <w:b/>
        </w:rPr>
        <w:t>Program Level Learning Outcome Assessment</w:t>
      </w:r>
    </w:p>
    <w:p w14:paraId="5051B6AE" w14:textId="77777777" w:rsidR="006C661C" w:rsidRPr="00D00F07" w:rsidRDefault="006C661C" w:rsidP="006C661C">
      <w:pPr>
        <w:tabs>
          <w:tab w:val="right" w:pos="14400"/>
        </w:tabs>
        <w:spacing w:line="240" w:lineRule="exact"/>
        <w:rPr>
          <w:b/>
        </w:rPr>
      </w:pPr>
      <w:r>
        <w:rPr>
          <w:b/>
        </w:rPr>
        <w:t>Environmental Science</w:t>
      </w:r>
    </w:p>
    <w:p w14:paraId="31E07A88" w14:textId="185C76A0" w:rsidR="00B8725D" w:rsidRPr="00B8725D" w:rsidRDefault="00B22B52" w:rsidP="00B8725D">
      <w:pPr>
        <w:rPr>
          <w:color w:val="000000"/>
        </w:rPr>
      </w:pPr>
      <w:r w:rsidRPr="00B22B52">
        <w:rPr>
          <w:rFonts w:ascii="Calibri" w:hAnsi="Calibri" w:cs="Calibri"/>
          <w:b/>
        </w:rPr>
        <w:t>PLO</w:t>
      </w:r>
      <w:r w:rsidR="00815A7B">
        <w:rPr>
          <w:rFonts w:ascii="Calibri" w:hAnsi="Calibri" w:cs="Calibri"/>
          <w:b/>
        </w:rPr>
        <w:t>4</w:t>
      </w:r>
      <w:bookmarkStart w:id="0" w:name="_GoBack"/>
      <w:bookmarkEnd w:id="0"/>
      <w:r w:rsidRPr="00B22B52">
        <w:rPr>
          <w:rFonts w:ascii="Calibri" w:hAnsi="Calibri" w:cs="Calibri"/>
          <w:b/>
        </w:rPr>
        <w:t>:</w:t>
      </w:r>
      <w:r w:rsidR="00B8725D" w:rsidRPr="00B8725D">
        <w:rPr>
          <w:rFonts w:ascii="Calibri" w:hAnsi="Calibri" w:cs="Calibri"/>
          <w:color w:val="000000"/>
        </w:rPr>
        <w:t xml:space="preserve"> </w:t>
      </w:r>
      <w:r w:rsidR="00B8725D" w:rsidRPr="00B8725D">
        <w:rPr>
          <w:color w:val="000000"/>
        </w:rPr>
        <w:t>Students will communicate effectively in the language of the discipline, incorporating written, oral and visual methods. Students will communicate to audiences ranging from scientific to policy oriented. Students will be prepared to become active, informed citizens ready to have an impact on society.</w:t>
      </w:r>
    </w:p>
    <w:p w14:paraId="2C90E1D3" w14:textId="77777777" w:rsidR="00B8725D" w:rsidRPr="00D565A5" w:rsidRDefault="00B22B52" w:rsidP="00B8725D">
      <w:pPr>
        <w:autoSpaceDE w:val="0"/>
        <w:autoSpaceDN w:val="0"/>
        <w:adjustRightInd w:val="0"/>
        <w:rPr>
          <w:rFonts w:ascii="Garamond" w:hAnsi="Garamond"/>
        </w:rPr>
      </w:pPr>
      <w:r w:rsidRPr="00B22B52">
        <w:rPr>
          <w:rFonts w:ascii="Calibri" w:eastAsiaTheme="minorHAnsi" w:hAnsi="Calibri" w:cs="Calibri"/>
          <w:b/>
        </w:rPr>
        <w:t xml:space="preserve"> </w:t>
      </w:r>
    </w:p>
    <w:tbl>
      <w:tblPr>
        <w:tblStyle w:val="TableGrid"/>
        <w:tblW w:w="5000" w:type="pct"/>
        <w:tblLook w:val="04A0" w:firstRow="1" w:lastRow="0" w:firstColumn="1" w:lastColumn="0" w:noHBand="0" w:noVBand="1"/>
      </w:tblPr>
      <w:tblGrid>
        <w:gridCol w:w="1930"/>
        <w:gridCol w:w="2279"/>
        <w:gridCol w:w="2406"/>
        <w:gridCol w:w="2499"/>
        <w:gridCol w:w="3836"/>
      </w:tblGrid>
      <w:tr w:rsidR="009A3475" w14:paraId="3FC6091C" w14:textId="77777777" w:rsidTr="007C6964">
        <w:tc>
          <w:tcPr>
            <w:tcW w:w="745" w:type="pct"/>
            <w:vAlign w:val="center"/>
          </w:tcPr>
          <w:p w14:paraId="13E08B8A" w14:textId="77777777" w:rsidR="009A3475" w:rsidRPr="006C661C" w:rsidRDefault="009A3475" w:rsidP="007C6964">
            <w:pPr>
              <w:rPr>
                <w:rFonts w:ascii="Garamond" w:hAnsi="Garamond"/>
                <w:b/>
              </w:rPr>
            </w:pPr>
            <w:r w:rsidRPr="006C661C">
              <w:rPr>
                <w:rFonts w:ascii="Garamond" w:hAnsi="Garamond"/>
                <w:b/>
              </w:rPr>
              <w:t>Learning Outcome</w:t>
            </w:r>
          </w:p>
        </w:tc>
        <w:tc>
          <w:tcPr>
            <w:tcW w:w="880" w:type="pct"/>
            <w:vAlign w:val="center"/>
          </w:tcPr>
          <w:p w14:paraId="2855EE06" w14:textId="77777777" w:rsidR="009A3475" w:rsidRPr="006C661C" w:rsidRDefault="009A3475" w:rsidP="007C6964">
            <w:pPr>
              <w:rPr>
                <w:rFonts w:ascii="Garamond" w:hAnsi="Garamond"/>
                <w:b/>
              </w:rPr>
            </w:pPr>
            <w:r w:rsidRPr="006C661C">
              <w:rPr>
                <w:rFonts w:ascii="Garamond" w:hAnsi="Garamond"/>
                <w:b/>
              </w:rPr>
              <w:t>Does Not Meet Expectations</w:t>
            </w:r>
          </w:p>
        </w:tc>
        <w:tc>
          <w:tcPr>
            <w:tcW w:w="929" w:type="pct"/>
            <w:vAlign w:val="center"/>
          </w:tcPr>
          <w:p w14:paraId="03991B33" w14:textId="77777777" w:rsidR="009A3475" w:rsidRPr="006C661C" w:rsidRDefault="009A3475" w:rsidP="007C6964">
            <w:pPr>
              <w:rPr>
                <w:rFonts w:ascii="Garamond" w:hAnsi="Garamond"/>
                <w:b/>
              </w:rPr>
            </w:pPr>
            <w:r w:rsidRPr="006C661C">
              <w:rPr>
                <w:rFonts w:ascii="Garamond" w:hAnsi="Garamond"/>
                <w:b/>
              </w:rPr>
              <w:t>Approaches</w:t>
            </w:r>
          </w:p>
        </w:tc>
        <w:tc>
          <w:tcPr>
            <w:tcW w:w="965" w:type="pct"/>
            <w:vAlign w:val="center"/>
          </w:tcPr>
          <w:p w14:paraId="23B51DCA" w14:textId="77777777" w:rsidR="009A3475" w:rsidRPr="006C661C" w:rsidRDefault="009A3475" w:rsidP="007C6964">
            <w:pPr>
              <w:rPr>
                <w:rFonts w:ascii="Garamond" w:hAnsi="Garamond"/>
                <w:b/>
              </w:rPr>
            </w:pPr>
            <w:r w:rsidRPr="006C661C">
              <w:rPr>
                <w:rFonts w:ascii="Garamond" w:hAnsi="Garamond"/>
                <w:b/>
              </w:rPr>
              <w:t>Reinforces</w:t>
            </w:r>
          </w:p>
        </w:tc>
        <w:tc>
          <w:tcPr>
            <w:tcW w:w="1481" w:type="pct"/>
            <w:vAlign w:val="center"/>
          </w:tcPr>
          <w:p w14:paraId="764492F0" w14:textId="77777777" w:rsidR="009A3475" w:rsidRPr="006C661C" w:rsidRDefault="009A3475" w:rsidP="007C6964">
            <w:pPr>
              <w:rPr>
                <w:rFonts w:ascii="Garamond" w:hAnsi="Garamond"/>
                <w:b/>
              </w:rPr>
            </w:pPr>
            <w:r w:rsidRPr="006C661C">
              <w:rPr>
                <w:rFonts w:ascii="Garamond" w:hAnsi="Garamond"/>
                <w:b/>
              </w:rPr>
              <w:t>Masters</w:t>
            </w:r>
          </w:p>
        </w:tc>
      </w:tr>
      <w:tr w:rsidR="009A3475" w14:paraId="34AAAAA0" w14:textId="77777777" w:rsidTr="007C6964">
        <w:tc>
          <w:tcPr>
            <w:tcW w:w="745" w:type="pct"/>
            <w:vAlign w:val="center"/>
          </w:tcPr>
          <w:p w14:paraId="2B583DD5" w14:textId="030A8D40" w:rsidR="009A3475" w:rsidRDefault="00B8725D" w:rsidP="007C6964">
            <w:pPr>
              <w:rPr>
                <w:rFonts w:ascii="Garamond" w:hAnsi="Garamond"/>
              </w:rPr>
            </w:pPr>
            <w:r>
              <w:rPr>
                <w:rFonts w:ascii="Garamond" w:hAnsi="Garamond"/>
              </w:rPr>
              <w:t>Students will use language of the discipline</w:t>
            </w:r>
            <w:r w:rsidR="00232B8E">
              <w:rPr>
                <w:rFonts w:ascii="Garamond" w:hAnsi="Garamond"/>
              </w:rPr>
              <w:t xml:space="preserve"> </w:t>
            </w:r>
          </w:p>
        </w:tc>
        <w:tc>
          <w:tcPr>
            <w:tcW w:w="880" w:type="pct"/>
            <w:vAlign w:val="center"/>
          </w:tcPr>
          <w:p w14:paraId="7348D2DE" w14:textId="1C742E00" w:rsidR="009A3475" w:rsidRDefault="00B8725D" w:rsidP="007C6964">
            <w:pPr>
              <w:rPr>
                <w:rFonts w:ascii="Garamond" w:hAnsi="Garamond"/>
              </w:rPr>
            </w:pPr>
            <w:r>
              <w:rPr>
                <w:rFonts w:ascii="Garamond" w:hAnsi="Garamond"/>
              </w:rPr>
              <w:t>Unable to incorporate key ideas and vocabulary.</w:t>
            </w:r>
          </w:p>
        </w:tc>
        <w:tc>
          <w:tcPr>
            <w:tcW w:w="929" w:type="pct"/>
            <w:vAlign w:val="center"/>
          </w:tcPr>
          <w:p w14:paraId="4BCE7B38" w14:textId="1C3936A5" w:rsidR="009A3475" w:rsidRDefault="00B8725D" w:rsidP="007C6964">
            <w:pPr>
              <w:rPr>
                <w:rFonts w:ascii="Garamond" w:hAnsi="Garamond"/>
              </w:rPr>
            </w:pPr>
            <w:r>
              <w:rPr>
                <w:rFonts w:ascii="Garamond" w:hAnsi="Garamond"/>
              </w:rPr>
              <w:t>Utilizes key vocabulary.</w:t>
            </w:r>
          </w:p>
        </w:tc>
        <w:tc>
          <w:tcPr>
            <w:tcW w:w="965" w:type="pct"/>
            <w:vAlign w:val="center"/>
          </w:tcPr>
          <w:p w14:paraId="4B59F4D3" w14:textId="16CA8DF9" w:rsidR="009A3475" w:rsidRDefault="00B8725D" w:rsidP="007C6964">
            <w:pPr>
              <w:rPr>
                <w:rFonts w:ascii="Garamond" w:hAnsi="Garamond"/>
              </w:rPr>
            </w:pPr>
            <w:r>
              <w:rPr>
                <w:rFonts w:ascii="Garamond" w:hAnsi="Garamond"/>
              </w:rPr>
              <w:t>Utilizes key vocabulary, concepts and theory.</w:t>
            </w:r>
          </w:p>
        </w:tc>
        <w:tc>
          <w:tcPr>
            <w:tcW w:w="1481" w:type="pct"/>
            <w:vAlign w:val="center"/>
          </w:tcPr>
          <w:p w14:paraId="5512288E" w14:textId="040BF134" w:rsidR="009A3475" w:rsidRDefault="00B8725D" w:rsidP="007C6964">
            <w:pPr>
              <w:rPr>
                <w:rFonts w:ascii="Garamond" w:hAnsi="Garamond"/>
              </w:rPr>
            </w:pPr>
            <w:r>
              <w:rPr>
                <w:rFonts w:ascii="Garamond" w:hAnsi="Garamond"/>
              </w:rPr>
              <w:t>Utilizes key vocabulary, concepts and theory.  Writes/speaks clearly and concisely.</w:t>
            </w:r>
          </w:p>
        </w:tc>
      </w:tr>
      <w:tr w:rsidR="009A3475" w14:paraId="32B3851E" w14:textId="77777777" w:rsidTr="007C6964">
        <w:tc>
          <w:tcPr>
            <w:tcW w:w="745" w:type="pct"/>
            <w:vAlign w:val="center"/>
          </w:tcPr>
          <w:p w14:paraId="1CA2AAB5" w14:textId="1017A664" w:rsidR="009A3475" w:rsidRDefault="00B8725D" w:rsidP="007C6964">
            <w:pPr>
              <w:rPr>
                <w:rFonts w:ascii="Garamond" w:hAnsi="Garamond"/>
              </w:rPr>
            </w:pPr>
            <w:r>
              <w:rPr>
                <w:rFonts w:ascii="Garamond" w:hAnsi="Garamond"/>
              </w:rPr>
              <w:t>Students will communicate information displayed on charts, graphs, maps and other visual displays of data</w:t>
            </w:r>
          </w:p>
        </w:tc>
        <w:tc>
          <w:tcPr>
            <w:tcW w:w="880" w:type="pct"/>
            <w:vAlign w:val="center"/>
          </w:tcPr>
          <w:p w14:paraId="277BB5FA" w14:textId="2349A553" w:rsidR="009A3475" w:rsidRDefault="00B8725D" w:rsidP="007C6964">
            <w:pPr>
              <w:rPr>
                <w:rFonts w:ascii="Garamond" w:hAnsi="Garamond"/>
              </w:rPr>
            </w:pPr>
            <w:r>
              <w:rPr>
                <w:rFonts w:ascii="Garamond" w:hAnsi="Garamond"/>
              </w:rPr>
              <w:t>Unable to describe data.</w:t>
            </w:r>
          </w:p>
        </w:tc>
        <w:tc>
          <w:tcPr>
            <w:tcW w:w="929" w:type="pct"/>
            <w:vAlign w:val="center"/>
          </w:tcPr>
          <w:p w14:paraId="5000F197" w14:textId="0E29DDFA" w:rsidR="009A3475" w:rsidRDefault="00B8725D" w:rsidP="007C6964">
            <w:pPr>
              <w:rPr>
                <w:rFonts w:ascii="Garamond" w:hAnsi="Garamond"/>
              </w:rPr>
            </w:pPr>
            <w:r>
              <w:rPr>
                <w:rFonts w:ascii="Garamond" w:hAnsi="Garamond"/>
              </w:rPr>
              <w:t>Student gives basic description including axis, units and trends.</w:t>
            </w:r>
          </w:p>
        </w:tc>
        <w:tc>
          <w:tcPr>
            <w:tcW w:w="965" w:type="pct"/>
            <w:vAlign w:val="center"/>
          </w:tcPr>
          <w:p w14:paraId="4F41096B" w14:textId="6C05AED2" w:rsidR="009A3475" w:rsidRDefault="00B8725D" w:rsidP="007C6964">
            <w:pPr>
              <w:rPr>
                <w:rFonts w:ascii="Garamond" w:hAnsi="Garamond"/>
              </w:rPr>
            </w:pPr>
            <w:r>
              <w:rPr>
                <w:rFonts w:ascii="Garamond" w:hAnsi="Garamond"/>
              </w:rPr>
              <w:t>Student goes beyond basic description, includes interpretation, context, methodology and potential flaws.</w:t>
            </w:r>
          </w:p>
        </w:tc>
        <w:tc>
          <w:tcPr>
            <w:tcW w:w="1481" w:type="pct"/>
            <w:vAlign w:val="center"/>
          </w:tcPr>
          <w:p w14:paraId="0D13265D" w14:textId="46D8334C" w:rsidR="009A3475" w:rsidRDefault="00B8725D" w:rsidP="007C6964">
            <w:pPr>
              <w:rPr>
                <w:rFonts w:ascii="Garamond" w:hAnsi="Garamond"/>
              </w:rPr>
            </w:pPr>
            <w:r>
              <w:rPr>
                <w:rFonts w:ascii="Garamond" w:hAnsi="Garamond"/>
              </w:rPr>
              <w:t>Students create their own data visualizations, explain in the context of the field.</w:t>
            </w:r>
          </w:p>
        </w:tc>
      </w:tr>
      <w:tr w:rsidR="009A3475" w14:paraId="0FA970B9" w14:textId="77777777" w:rsidTr="007C6964">
        <w:tc>
          <w:tcPr>
            <w:tcW w:w="745" w:type="pct"/>
            <w:vAlign w:val="center"/>
          </w:tcPr>
          <w:p w14:paraId="2C06A6BE" w14:textId="77901126" w:rsidR="009A3475" w:rsidRDefault="00B8725D" w:rsidP="007C6964">
            <w:pPr>
              <w:rPr>
                <w:rFonts w:ascii="Garamond" w:hAnsi="Garamond"/>
              </w:rPr>
            </w:pPr>
            <w:r>
              <w:rPr>
                <w:rFonts w:ascii="Garamond" w:hAnsi="Garamond"/>
              </w:rPr>
              <w:t>Students will communicate to a broad range of audiences.</w:t>
            </w:r>
          </w:p>
        </w:tc>
        <w:tc>
          <w:tcPr>
            <w:tcW w:w="880" w:type="pct"/>
            <w:vAlign w:val="center"/>
          </w:tcPr>
          <w:p w14:paraId="16378E82" w14:textId="7831859D" w:rsidR="009A3475" w:rsidRDefault="00B8725D" w:rsidP="007C6964">
            <w:pPr>
              <w:rPr>
                <w:rFonts w:ascii="Garamond" w:hAnsi="Garamond"/>
              </w:rPr>
            </w:pPr>
            <w:r>
              <w:rPr>
                <w:rFonts w:ascii="Garamond" w:hAnsi="Garamond"/>
              </w:rPr>
              <w:t>Unable to communicate clearly in writing or via presentation.</w:t>
            </w:r>
          </w:p>
        </w:tc>
        <w:tc>
          <w:tcPr>
            <w:tcW w:w="929" w:type="pct"/>
            <w:vAlign w:val="center"/>
          </w:tcPr>
          <w:p w14:paraId="6C62CFA4" w14:textId="12130B7C" w:rsidR="009A3475" w:rsidRDefault="00B8725D" w:rsidP="007C6964">
            <w:pPr>
              <w:rPr>
                <w:rFonts w:ascii="Garamond" w:hAnsi="Garamond"/>
              </w:rPr>
            </w:pPr>
            <w:r>
              <w:rPr>
                <w:rFonts w:ascii="Garamond" w:hAnsi="Garamond"/>
              </w:rPr>
              <w:t>Students communicates basic facts without nuance or interpretation.</w:t>
            </w:r>
          </w:p>
        </w:tc>
        <w:tc>
          <w:tcPr>
            <w:tcW w:w="965" w:type="pct"/>
            <w:vAlign w:val="center"/>
          </w:tcPr>
          <w:p w14:paraId="25C4AC2F" w14:textId="0238D39D" w:rsidR="009A3475" w:rsidRDefault="00B8725D" w:rsidP="007C6964">
            <w:pPr>
              <w:rPr>
                <w:rFonts w:ascii="Garamond" w:hAnsi="Garamond"/>
              </w:rPr>
            </w:pPr>
            <w:r>
              <w:rPr>
                <w:rFonts w:ascii="Garamond" w:hAnsi="Garamond"/>
              </w:rPr>
              <w:t>Students describe data and interpretation. Includes context and implications.</w:t>
            </w:r>
          </w:p>
        </w:tc>
        <w:tc>
          <w:tcPr>
            <w:tcW w:w="1481" w:type="pct"/>
            <w:vAlign w:val="center"/>
          </w:tcPr>
          <w:p w14:paraId="050E463E" w14:textId="4F59A838" w:rsidR="009A3475" w:rsidRDefault="006C661C" w:rsidP="007C6964">
            <w:pPr>
              <w:rPr>
                <w:rFonts w:ascii="Garamond" w:hAnsi="Garamond"/>
              </w:rPr>
            </w:pPr>
            <w:r>
              <w:rPr>
                <w:rFonts w:ascii="Garamond" w:hAnsi="Garamond"/>
              </w:rPr>
              <w:t>Demonstrate</w:t>
            </w:r>
            <w:r w:rsidR="00B8725D">
              <w:rPr>
                <w:rFonts w:ascii="Garamond" w:hAnsi="Garamond"/>
              </w:rPr>
              <w:t>s</w:t>
            </w:r>
            <w:r w:rsidR="00232B8E">
              <w:rPr>
                <w:rFonts w:ascii="Garamond" w:hAnsi="Garamond"/>
              </w:rPr>
              <w:t xml:space="preserve"> deep understanding </w:t>
            </w:r>
            <w:r w:rsidR="00B8725D">
              <w:rPr>
                <w:rFonts w:ascii="Garamond" w:hAnsi="Garamond"/>
              </w:rPr>
              <w:t>of the data and can communicate it clearly and effectively using the language of the discipline.</w:t>
            </w:r>
          </w:p>
        </w:tc>
      </w:tr>
      <w:tr w:rsidR="009A3475" w14:paraId="2F8047DE" w14:textId="77777777" w:rsidTr="007C6964">
        <w:tc>
          <w:tcPr>
            <w:tcW w:w="745" w:type="pct"/>
            <w:vAlign w:val="center"/>
          </w:tcPr>
          <w:p w14:paraId="72562586" w14:textId="5BDBBFDD" w:rsidR="009A3475" w:rsidRDefault="00B8725D" w:rsidP="007C6964">
            <w:pPr>
              <w:rPr>
                <w:rFonts w:ascii="Garamond" w:hAnsi="Garamond"/>
              </w:rPr>
            </w:pPr>
            <w:r>
              <w:rPr>
                <w:rFonts w:ascii="Garamond" w:hAnsi="Garamond"/>
              </w:rPr>
              <w:t>Students will apply their data analysis and communication skills in an independent project.</w:t>
            </w:r>
          </w:p>
        </w:tc>
        <w:tc>
          <w:tcPr>
            <w:tcW w:w="880" w:type="pct"/>
            <w:vAlign w:val="center"/>
          </w:tcPr>
          <w:p w14:paraId="6DEA67FC" w14:textId="6385673E" w:rsidR="009A3475" w:rsidRDefault="00B8725D" w:rsidP="007C6964">
            <w:pPr>
              <w:rPr>
                <w:rFonts w:ascii="Garamond" w:hAnsi="Garamond"/>
              </w:rPr>
            </w:pPr>
            <w:r>
              <w:rPr>
                <w:rFonts w:ascii="Garamond" w:hAnsi="Garamond"/>
              </w:rPr>
              <w:t>Unable to analyze and describe data independently.</w:t>
            </w:r>
          </w:p>
        </w:tc>
        <w:tc>
          <w:tcPr>
            <w:tcW w:w="929" w:type="pct"/>
            <w:vAlign w:val="center"/>
          </w:tcPr>
          <w:p w14:paraId="54A41460" w14:textId="5F256590" w:rsidR="009A3475" w:rsidRDefault="00B8725D" w:rsidP="007C6964">
            <w:pPr>
              <w:rPr>
                <w:rFonts w:ascii="Garamond" w:hAnsi="Garamond"/>
              </w:rPr>
            </w:pPr>
            <w:r>
              <w:rPr>
                <w:rFonts w:ascii="Garamond" w:hAnsi="Garamond"/>
              </w:rPr>
              <w:t>Students describes graphs and data at a rudimentary level.</w:t>
            </w:r>
          </w:p>
        </w:tc>
        <w:tc>
          <w:tcPr>
            <w:tcW w:w="965" w:type="pct"/>
            <w:vAlign w:val="center"/>
          </w:tcPr>
          <w:p w14:paraId="35AE7B05" w14:textId="1B221880" w:rsidR="009A3475" w:rsidRDefault="00B8725D" w:rsidP="007C6964">
            <w:pPr>
              <w:rPr>
                <w:rFonts w:ascii="Garamond" w:hAnsi="Garamond"/>
              </w:rPr>
            </w:pPr>
            <w:r>
              <w:rPr>
                <w:rFonts w:ascii="Garamond" w:hAnsi="Garamond"/>
              </w:rPr>
              <w:t>Students describe and interpret data, communicate clearly and highlight the important points.</w:t>
            </w:r>
          </w:p>
        </w:tc>
        <w:tc>
          <w:tcPr>
            <w:tcW w:w="1481" w:type="pct"/>
            <w:vAlign w:val="center"/>
          </w:tcPr>
          <w:p w14:paraId="01B247FC" w14:textId="7803A05C" w:rsidR="009A3475" w:rsidRDefault="006C661C" w:rsidP="007C6964">
            <w:pPr>
              <w:rPr>
                <w:rFonts w:ascii="Garamond" w:hAnsi="Garamond"/>
              </w:rPr>
            </w:pPr>
            <w:r>
              <w:rPr>
                <w:rFonts w:ascii="Garamond" w:hAnsi="Garamond"/>
              </w:rPr>
              <w:t>Demonstrate</w:t>
            </w:r>
            <w:r w:rsidR="00B8725D">
              <w:rPr>
                <w:rFonts w:ascii="Garamond" w:hAnsi="Garamond"/>
              </w:rPr>
              <w:t>s</w:t>
            </w:r>
            <w:r>
              <w:rPr>
                <w:rFonts w:ascii="Garamond" w:hAnsi="Garamond"/>
              </w:rPr>
              <w:t xml:space="preserve"> understanding of complex </w:t>
            </w:r>
            <w:r w:rsidR="00B8725D">
              <w:rPr>
                <w:rFonts w:ascii="Garamond" w:hAnsi="Garamond"/>
              </w:rPr>
              <w:t>data sets, different ways to visualize and analyze data and can incorporate these skills in independent research.</w:t>
            </w:r>
          </w:p>
        </w:tc>
      </w:tr>
    </w:tbl>
    <w:p w14:paraId="7E3E5E53" w14:textId="77777777" w:rsidR="00D565A5" w:rsidRPr="00D565A5" w:rsidRDefault="00D565A5" w:rsidP="00D565A5">
      <w:pPr>
        <w:rPr>
          <w:rFonts w:ascii="Garamond" w:hAnsi="Garamond"/>
        </w:rPr>
      </w:pPr>
    </w:p>
    <w:p w14:paraId="39B58D97" w14:textId="77777777" w:rsidR="005015E2" w:rsidRDefault="005015E2"/>
    <w:sectPr w:rsidR="005015E2"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979D2"/>
    <w:rsid w:val="000B65F0"/>
    <w:rsid w:val="000E077D"/>
    <w:rsid w:val="000E0B29"/>
    <w:rsid w:val="000E555F"/>
    <w:rsid w:val="00132B8B"/>
    <w:rsid w:val="00136830"/>
    <w:rsid w:val="00165F6D"/>
    <w:rsid w:val="001814F0"/>
    <w:rsid w:val="001960AF"/>
    <w:rsid w:val="001A0626"/>
    <w:rsid w:val="001B2637"/>
    <w:rsid w:val="001D0645"/>
    <w:rsid w:val="001F3345"/>
    <w:rsid w:val="00211AAA"/>
    <w:rsid w:val="00232B8E"/>
    <w:rsid w:val="00262F6C"/>
    <w:rsid w:val="002929C2"/>
    <w:rsid w:val="002E6998"/>
    <w:rsid w:val="002E6DB8"/>
    <w:rsid w:val="00321FAB"/>
    <w:rsid w:val="003905D0"/>
    <w:rsid w:val="003B3FA6"/>
    <w:rsid w:val="003C7815"/>
    <w:rsid w:val="00426B61"/>
    <w:rsid w:val="00457C2A"/>
    <w:rsid w:val="004B6891"/>
    <w:rsid w:val="005015E2"/>
    <w:rsid w:val="005A2912"/>
    <w:rsid w:val="005A3C6D"/>
    <w:rsid w:val="005D49FD"/>
    <w:rsid w:val="005E1B2B"/>
    <w:rsid w:val="00615C18"/>
    <w:rsid w:val="00620729"/>
    <w:rsid w:val="006B2BDD"/>
    <w:rsid w:val="006C661C"/>
    <w:rsid w:val="006E4CA4"/>
    <w:rsid w:val="00712B32"/>
    <w:rsid w:val="00726EC8"/>
    <w:rsid w:val="0077578A"/>
    <w:rsid w:val="00791202"/>
    <w:rsid w:val="007C6964"/>
    <w:rsid w:val="007F6452"/>
    <w:rsid w:val="00815A7B"/>
    <w:rsid w:val="008230AF"/>
    <w:rsid w:val="00836DFC"/>
    <w:rsid w:val="00866D18"/>
    <w:rsid w:val="008763CC"/>
    <w:rsid w:val="009118B4"/>
    <w:rsid w:val="00914F7F"/>
    <w:rsid w:val="0098089E"/>
    <w:rsid w:val="009A0CFA"/>
    <w:rsid w:val="009A3475"/>
    <w:rsid w:val="00A601CE"/>
    <w:rsid w:val="00AD54F5"/>
    <w:rsid w:val="00B14DA4"/>
    <w:rsid w:val="00B22B52"/>
    <w:rsid w:val="00B8725D"/>
    <w:rsid w:val="00BB57FF"/>
    <w:rsid w:val="00BC3341"/>
    <w:rsid w:val="00BD42D1"/>
    <w:rsid w:val="00BF444F"/>
    <w:rsid w:val="00C0571A"/>
    <w:rsid w:val="00C12D5D"/>
    <w:rsid w:val="00C17A54"/>
    <w:rsid w:val="00C30321"/>
    <w:rsid w:val="00C3344A"/>
    <w:rsid w:val="00C4169B"/>
    <w:rsid w:val="00C66D3E"/>
    <w:rsid w:val="00D16638"/>
    <w:rsid w:val="00D369FE"/>
    <w:rsid w:val="00D560F8"/>
    <w:rsid w:val="00D565A5"/>
    <w:rsid w:val="00D75740"/>
    <w:rsid w:val="00D96097"/>
    <w:rsid w:val="00DA405B"/>
    <w:rsid w:val="00DB52F7"/>
    <w:rsid w:val="00E71CC3"/>
    <w:rsid w:val="00E73D20"/>
    <w:rsid w:val="00E81864"/>
    <w:rsid w:val="00E855A2"/>
    <w:rsid w:val="00EB2486"/>
    <w:rsid w:val="00EC0F71"/>
    <w:rsid w:val="00EC313B"/>
    <w:rsid w:val="00EE55E5"/>
    <w:rsid w:val="00EE7EF5"/>
    <w:rsid w:val="00F0085C"/>
    <w:rsid w:val="00F220F9"/>
    <w:rsid w:val="00FD1F54"/>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F8975BE7-270A-5043-BA09-E8E69B18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25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6C848B9-8765-FF40-84A4-222F8BFA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Randye</cp:lastModifiedBy>
  <cp:revision>2</cp:revision>
  <dcterms:created xsi:type="dcterms:W3CDTF">2026-02-05T15:32:00Z</dcterms:created>
  <dcterms:modified xsi:type="dcterms:W3CDTF">2026-02-05T15:32:00Z</dcterms:modified>
</cp:coreProperties>
</file>